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b/>
          <w:kern w:val="2"/>
          <w:sz w:val="44"/>
          <w:szCs w:val="44"/>
          <w:lang w:val="en-US" w:eastAsia="zh-CN" w:bidi="ar-SA"/>
        </w:rPr>
      </w:pPr>
      <w:r>
        <w:rPr>
          <w:rFonts w:hint="eastAsia" w:ascii="方正黑体_GBK" w:hAnsi="方正黑体_GBK" w:eastAsia="方正黑体_GBK" w:cs="方正黑体_GBK"/>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firstLine="0" w:firstLineChars="0"/>
        <w:jc w:val="center"/>
        <w:textAlignment w:val="auto"/>
        <w:rPr>
          <w:rFonts w:hint="eastAsia" w:ascii="方正小标宋_GBK" w:hAnsi="方正小标宋_GBK" w:eastAsia="方正小标宋_GBK" w:cs="方正小标宋_GBK"/>
          <w:b/>
          <w:kern w:val="2"/>
          <w:sz w:val="44"/>
          <w:szCs w:val="4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firstLine="0" w:firstLineChars="0"/>
        <w:jc w:val="center"/>
        <w:textAlignment w:val="auto"/>
        <w:rPr>
          <w:rFonts w:hint="eastAsia" w:ascii="方正小标宋_GBK" w:hAnsi="方正小标宋_GBK" w:eastAsia="方正小标宋_GBK" w:cs="方正小标宋_GBK"/>
          <w:b/>
          <w:kern w:val="2"/>
          <w:sz w:val="44"/>
          <w:szCs w:val="44"/>
          <w:lang w:val="en-US" w:eastAsia="zh-CN" w:bidi="ar-SA"/>
        </w:rPr>
      </w:pPr>
      <w:bookmarkStart w:id="0" w:name="_GoBack"/>
      <w:r>
        <w:rPr>
          <w:rFonts w:hint="eastAsia" w:ascii="方正小标宋_GBK" w:hAnsi="方正小标宋_GBK" w:eastAsia="方正小标宋_GBK" w:cs="方正小标宋_GBK"/>
          <w:b/>
          <w:kern w:val="2"/>
          <w:sz w:val="44"/>
          <w:szCs w:val="44"/>
          <w:lang w:val="en-US" w:eastAsia="zh-CN" w:bidi="ar-SA"/>
        </w:rPr>
        <w:t>重庆华牧优鲜农业发展有限公司关于委托专业网络安全公司开展网络安全等级保护测评</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firstLine="0" w:firstLineChars="0"/>
        <w:jc w:val="center"/>
        <w:textAlignment w:val="auto"/>
        <w:rPr>
          <w:rFonts w:hint="eastAsia" w:ascii="方正小标宋_GBK" w:hAnsi="方正小标宋_GBK" w:eastAsia="方正小标宋_GBK" w:cs="方正小标宋_GBK"/>
          <w:b/>
          <w:kern w:val="2"/>
          <w:sz w:val="44"/>
          <w:szCs w:val="44"/>
          <w:lang w:val="en-US" w:eastAsia="zh-CN" w:bidi="ar-SA"/>
        </w:rPr>
      </w:pPr>
      <w:r>
        <w:rPr>
          <w:rFonts w:hint="eastAsia" w:ascii="方正小标宋_GBK" w:hAnsi="方正小标宋_GBK" w:eastAsia="方正小标宋_GBK" w:cs="方正小标宋_GBK"/>
          <w:b/>
          <w:kern w:val="2"/>
          <w:sz w:val="44"/>
          <w:szCs w:val="44"/>
          <w:lang w:val="en-US" w:eastAsia="zh-CN" w:bidi="ar-SA"/>
        </w:rPr>
        <w:t>公开招标评分细则</w:t>
      </w:r>
    </w:p>
    <w:bookmarkEnd w:id="0"/>
    <w:tbl>
      <w:tblPr>
        <w:tblStyle w:val="9"/>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06"/>
        <w:gridCol w:w="3969"/>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序号</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方正黑体_GBK" w:hAnsi="方正黑体_GBK" w:eastAsia="方正黑体_GBK" w:cs="方正黑体_GBK"/>
                <w:kern w:val="0"/>
                <w:sz w:val="21"/>
                <w:szCs w:val="21"/>
                <w:lang w:eastAsia="zh-CN"/>
              </w:rPr>
            </w:pPr>
            <w:r>
              <w:rPr>
                <w:rFonts w:hint="eastAsia" w:ascii="方正黑体_GBK" w:hAnsi="方正黑体_GBK" w:eastAsia="方正黑体_GBK" w:cs="方正黑体_GBK"/>
                <w:kern w:val="0"/>
                <w:sz w:val="21"/>
                <w:szCs w:val="21"/>
              </w:rPr>
              <w:t>评分</w:t>
            </w:r>
            <w:r>
              <w:rPr>
                <w:rFonts w:hint="eastAsia" w:ascii="方正黑体_GBK" w:hAnsi="方正黑体_GBK" w:eastAsia="方正黑体_GBK" w:cs="方正黑体_GBK"/>
                <w:kern w:val="0"/>
                <w:sz w:val="21"/>
                <w:szCs w:val="21"/>
                <w:lang w:val="en-US" w:eastAsia="zh-CN"/>
              </w:rPr>
              <w:t>项目</w:t>
            </w:r>
          </w:p>
        </w:tc>
        <w:tc>
          <w:tcPr>
            <w:tcW w:w="110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分值</w:t>
            </w:r>
          </w:p>
        </w:tc>
        <w:tc>
          <w:tcPr>
            <w:tcW w:w="3969"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评分标准</w:t>
            </w:r>
          </w:p>
        </w:tc>
        <w:tc>
          <w:tcPr>
            <w:tcW w:w="1795"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70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113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经济标</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w:t>
            </w:r>
            <w:r>
              <w:rPr>
                <w:rFonts w:hint="eastAsia" w:ascii="Times New Roman" w:hAnsi="Times New Roman" w:eastAsia="方正仿宋_GBK" w:cs="Times New Roman"/>
                <w:b/>
                <w:bCs/>
                <w:sz w:val="21"/>
                <w:szCs w:val="21"/>
                <w:lang w:val="en-US" w:eastAsia="zh-CN"/>
              </w:rPr>
              <w:t>70</w:t>
            </w:r>
            <w:r>
              <w:rPr>
                <w:rFonts w:hint="default" w:ascii="Times New Roman" w:hAnsi="Times New Roman" w:eastAsia="方正仿宋_GBK" w:cs="Times New Roman"/>
                <w:b/>
                <w:bCs/>
                <w:sz w:val="21"/>
                <w:szCs w:val="21"/>
              </w:rPr>
              <w:t>分）</w:t>
            </w:r>
          </w:p>
        </w:tc>
        <w:tc>
          <w:tcPr>
            <w:tcW w:w="110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eastAsia" w:ascii="Times New Roman" w:hAnsi="Times New Roman" w:eastAsia="方正仿宋_GBK" w:cs="Times New Roman"/>
                <w:b/>
                <w:bCs/>
                <w:sz w:val="21"/>
                <w:szCs w:val="21"/>
                <w:lang w:val="en-US" w:eastAsia="zh-CN"/>
              </w:rPr>
              <w:t>70</w:t>
            </w:r>
            <w:r>
              <w:rPr>
                <w:rFonts w:hint="default" w:ascii="Times New Roman" w:hAnsi="Times New Roman" w:eastAsia="方正仿宋_GBK" w:cs="Times New Roman"/>
                <w:b/>
                <w:bCs/>
                <w:sz w:val="21"/>
                <w:szCs w:val="21"/>
              </w:rPr>
              <w:t>分</w:t>
            </w:r>
          </w:p>
        </w:tc>
        <w:tc>
          <w:tcPr>
            <w:tcW w:w="396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有效的投标报价中的最低价为评标基准价，按下列公式计算</w:t>
            </w:r>
            <w:r>
              <w:rPr>
                <w:rFonts w:hint="eastAsia" w:ascii="Times New Roman" w:hAnsi="Times New Roman" w:eastAsia="方正仿宋_GBK" w:cs="Times New Roman"/>
                <w:sz w:val="21"/>
                <w:szCs w:val="21"/>
                <w:lang w:val="en-US" w:eastAsia="zh-CN"/>
              </w:rPr>
              <w:t>投标人</w:t>
            </w:r>
            <w:r>
              <w:rPr>
                <w:rFonts w:hint="default" w:ascii="Times New Roman" w:hAnsi="Times New Roman" w:eastAsia="方正仿宋_GBK" w:cs="Times New Roman"/>
                <w:sz w:val="21"/>
                <w:szCs w:val="21"/>
              </w:rPr>
              <w:t>的价格得分。</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得分</w:t>
            </w:r>
            <w:r>
              <w:rPr>
                <w:rFonts w:hint="eastAsia" w:eastAsia="方正仿宋_GBK" w:cs="Times New Roman"/>
                <w:sz w:val="21"/>
                <w:szCs w:val="21"/>
                <w:lang w:val="en-US" w:eastAsia="zh-CN"/>
              </w:rPr>
              <w:t>=</w:t>
            </w:r>
            <w:r>
              <w:rPr>
                <w:rFonts w:hint="default" w:ascii="Times New Roman" w:hAnsi="Times New Roman" w:eastAsia="方正仿宋_GBK" w:cs="Times New Roman"/>
                <w:sz w:val="21"/>
                <w:szCs w:val="21"/>
              </w:rPr>
              <w:t>（评标基准价/投标报价）×价格权重×100。</w:t>
            </w:r>
          </w:p>
        </w:tc>
        <w:tc>
          <w:tcPr>
            <w:tcW w:w="179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09"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1134"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技术标</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w:t>
            </w:r>
            <w:r>
              <w:rPr>
                <w:rFonts w:hint="eastAsia" w:ascii="Times New Roman" w:hAnsi="Times New Roman" w:eastAsia="方正仿宋_GBK" w:cs="Times New Roman"/>
                <w:b/>
                <w:bCs/>
                <w:sz w:val="21"/>
                <w:szCs w:val="21"/>
                <w:lang w:val="en-US" w:eastAsia="zh-CN"/>
              </w:rPr>
              <w:t>20</w:t>
            </w:r>
            <w:r>
              <w:rPr>
                <w:rFonts w:hint="default" w:ascii="Times New Roman" w:hAnsi="Times New Roman" w:eastAsia="方正仿宋_GBK" w:cs="Times New Roman"/>
                <w:b/>
                <w:bCs/>
                <w:sz w:val="21"/>
                <w:szCs w:val="21"/>
              </w:rPr>
              <w:t>分）</w:t>
            </w:r>
          </w:p>
        </w:tc>
        <w:tc>
          <w:tcPr>
            <w:tcW w:w="110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实施计划（</w:t>
            </w:r>
            <w:r>
              <w:rPr>
                <w:rFonts w:hint="default" w:ascii="Times New Roman" w:hAnsi="Times New Roman" w:eastAsia="方正仿宋_GBK" w:cs="Times New Roman"/>
                <w:b/>
                <w:bCs/>
                <w:sz w:val="21"/>
                <w:szCs w:val="21"/>
                <w:lang w:val="en-US" w:eastAsia="zh-CN"/>
              </w:rPr>
              <w:t>10</w:t>
            </w:r>
            <w:r>
              <w:rPr>
                <w:rFonts w:hint="default" w:ascii="Times New Roman" w:hAnsi="Times New Roman" w:eastAsia="方正仿宋_GBK" w:cs="Times New Roman"/>
                <w:b/>
                <w:bCs/>
                <w:sz w:val="21"/>
                <w:szCs w:val="21"/>
              </w:rPr>
              <w:t>分）</w:t>
            </w:r>
          </w:p>
        </w:tc>
        <w:tc>
          <w:tcPr>
            <w:tcW w:w="396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投标人</w:t>
            </w:r>
            <w:r>
              <w:rPr>
                <w:rFonts w:hint="default" w:ascii="Times New Roman" w:hAnsi="Times New Roman" w:eastAsia="方正仿宋_GBK" w:cs="Times New Roman"/>
                <w:sz w:val="21"/>
                <w:szCs w:val="21"/>
              </w:rPr>
              <w:t>针对本</w:t>
            </w:r>
            <w:r>
              <w:rPr>
                <w:rFonts w:hint="eastAsia" w:ascii="Times New Roman" w:hAnsi="Times New Roman" w:eastAsia="方正仿宋_GBK" w:cs="Times New Roman"/>
                <w:sz w:val="21"/>
                <w:szCs w:val="21"/>
                <w:lang w:val="en-US" w:eastAsia="zh-CN"/>
              </w:rPr>
              <w:t>次网络安全等级保护测评流程</w:t>
            </w:r>
            <w:r>
              <w:rPr>
                <w:rFonts w:hint="default" w:ascii="Times New Roman" w:hAnsi="Times New Roman" w:eastAsia="方正仿宋_GBK" w:cs="Times New Roman"/>
                <w:sz w:val="21"/>
                <w:szCs w:val="21"/>
              </w:rPr>
              <w:t>提出实施进度计划和人员安排。从工作时间安排的合理性</w:t>
            </w:r>
            <w:r>
              <w:rPr>
                <w:rFonts w:hint="eastAsia" w:ascii="Times New Roman" w:hAnsi="Times New Roman" w:eastAsia="方正仿宋_GBK" w:cs="Times New Roman"/>
                <w:sz w:val="21"/>
                <w:szCs w:val="21"/>
                <w:lang w:eastAsia="zh-CN"/>
              </w:rPr>
              <w:t>、</w:t>
            </w:r>
            <w:r>
              <w:rPr>
                <w:rFonts w:hint="eastAsia" w:ascii="Times New Roman" w:hAnsi="Times New Roman" w:eastAsia="方正仿宋_GBK" w:cs="Times New Roman"/>
                <w:sz w:val="21"/>
                <w:szCs w:val="21"/>
                <w:lang w:val="en-US" w:eastAsia="zh-CN"/>
              </w:rPr>
              <w:t>服务周期</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人员的技术性等方面进行评审。</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优得</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分；良得</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分；中得</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分；差得</w:t>
            </w:r>
            <w:r>
              <w:rPr>
                <w:rFonts w:hint="default"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rPr>
              <w:t>分；未提供得0分。</w:t>
            </w:r>
          </w:p>
        </w:tc>
        <w:tc>
          <w:tcPr>
            <w:tcW w:w="1795"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sz w:val="21"/>
                <w:szCs w:val="21"/>
              </w:rPr>
            </w:pPr>
          </w:p>
        </w:tc>
        <w:tc>
          <w:tcPr>
            <w:tcW w:w="1134"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后期跟踪（</w:t>
            </w:r>
            <w:r>
              <w:rPr>
                <w:rFonts w:hint="default" w:ascii="Times New Roman" w:hAnsi="Times New Roman" w:eastAsia="方正仿宋_GBK" w:cs="Times New Roman"/>
                <w:b/>
                <w:bCs/>
                <w:sz w:val="21"/>
                <w:szCs w:val="21"/>
                <w:lang w:val="en-US" w:eastAsia="zh-CN"/>
              </w:rPr>
              <w:t>10</w:t>
            </w:r>
            <w:r>
              <w:rPr>
                <w:rFonts w:hint="default" w:ascii="Times New Roman" w:hAnsi="Times New Roman" w:eastAsia="方正仿宋_GBK" w:cs="Times New Roman"/>
                <w:b/>
                <w:bCs/>
                <w:sz w:val="21"/>
                <w:szCs w:val="21"/>
              </w:rPr>
              <w:t>分）</w:t>
            </w:r>
          </w:p>
        </w:tc>
        <w:tc>
          <w:tcPr>
            <w:tcW w:w="396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投标人</w:t>
            </w:r>
            <w:r>
              <w:rPr>
                <w:rFonts w:hint="default" w:ascii="Times New Roman" w:hAnsi="Times New Roman" w:eastAsia="方正仿宋_GBK" w:cs="Times New Roman"/>
                <w:sz w:val="21"/>
                <w:szCs w:val="21"/>
              </w:rPr>
              <w:t>提供后续跟踪服务承诺，对后期服务方案的合理性、</w:t>
            </w:r>
            <w:r>
              <w:rPr>
                <w:rFonts w:hint="eastAsia" w:ascii="Times New Roman" w:hAnsi="Times New Roman" w:eastAsia="方正仿宋_GBK" w:cs="Times New Roman"/>
                <w:sz w:val="21"/>
                <w:szCs w:val="21"/>
                <w:lang w:val="en-US" w:eastAsia="zh-CN"/>
              </w:rPr>
              <w:t>可行性、服务周期</w:t>
            </w:r>
            <w:r>
              <w:rPr>
                <w:rFonts w:hint="default" w:ascii="Times New Roman" w:hAnsi="Times New Roman" w:eastAsia="方正仿宋_GBK" w:cs="Times New Roman"/>
                <w:sz w:val="21"/>
                <w:szCs w:val="21"/>
              </w:rPr>
              <w:t>等方面进行评审。</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优得</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分；良得</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分；中得</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分；差得</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分；未提供得0分。</w:t>
            </w:r>
          </w:p>
        </w:tc>
        <w:tc>
          <w:tcPr>
            <w:tcW w:w="179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商务标</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rPr>
              <w:t>（</w:t>
            </w:r>
            <w:r>
              <w:rPr>
                <w:rFonts w:hint="eastAsia" w:ascii="Times New Roman" w:hAnsi="Times New Roman" w:eastAsia="方正仿宋_GBK" w:cs="Times New Roman"/>
                <w:b/>
                <w:bCs/>
                <w:sz w:val="21"/>
                <w:szCs w:val="21"/>
                <w:lang w:val="en-US" w:eastAsia="zh-CN"/>
              </w:rPr>
              <w:t>10</w:t>
            </w:r>
            <w:r>
              <w:rPr>
                <w:rFonts w:hint="default" w:ascii="Times New Roman" w:hAnsi="Times New Roman" w:eastAsia="方正仿宋_GBK" w:cs="Times New Roman"/>
                <w:b/>
                <w:bCs/>
                <w:sz w:val="21"/>
                <w:szCs w:val="21"/>
              </w:rPr>
              <w:t>分）</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sz w:val="21"/>
                <w:szCs w:val="21"/>
                <w:lang w:val="en-US" w:eastAsia="zh-CN"/>
              </w:rPr>
              <w:t>相关</w:t>
            </w:r>
            <w:r>
              <w:rPr>
                <w:rFonts w:hint="default" w:ascii="Times New Roman" w:hAnsi="Times New Roman" w:eastAsia="方正仿宋_GBK" w:cs="Times New Roman"/>
                <w:b/>
                <w:bCs/>
                <w:sz w:val="21"/>
                <w:szCs w:val="21"/>
              </w:rPr>
              <w:t>业绩（</w:t>
            </w:r>
            <w:r>
              <w:rPr>
                <w:rFonts w:hint="eastAsia" w:ascii="Times New Roman" w:hAnsi="Times New Roman" w:eastAsia="方正仿宋_GBK" w:cs="Times New Roman"/>
                <w:b/>
                <w:bCs/>
                <w:sz w:val="21"/>
                <w:szCs w:val="21"/>
                <w:lang w:val="en-US" w:eastAsia="zh-CN"/>
              </w:rPr>
              <w:t>10</w:t>
            </w:r>
            <w:r>
              <w:rPr>
                <w:rFonts w:hint="default" w:ascii="Times New Roman" w:hAnsi="Times New Roman" w:eastAsia="方正仿宋_GBK" w:cs="Times New Roman"/>
                <w:b/>
                <w:bCs/>
                <w:sz w:val="21"/>
                <w:szCs w:val="21"/>
              </w:rPr>
              <w:t>分）</w:t>
            </w:r>
          </w:p>
        </w:tc>
        <w:tc>
          <w:tcPr>
            <w:tcW w:w="3969"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自20</w:t>
            </w:r>
            <w:r>
              <w:rPr>
                <w:rFonts w:hint="default" w:ascii="Times New Roman" w:hAnsi="Times New Roman" w:eastAsia="方正仿宋_GBK" w:cs="Times New Roman"/>
                <w:sz w:val="21"/>
                <w:szCs w:val="21"/>
                <w:lang w:val="en-US" w:eastAsia="zh-CN"/>
              </w:rPr>
              <w:t>2</w:t>
            </w:r>
            <w:r>
              <w:rPr>
                <w:rFonts w:hint="eastAsia"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年1月至今，</w:t>
            </w:r>
            <w:r>
              <w:rPr>
                <w:rFonts w:hint="eastAsia" w:ascii="Times New Roman" w:hAnsi="Times New Roman" w:eastAsia="方正仿宋_GBK" w:cs="Times New Roman"/>
                <w:sz w:val="21"/>
                <w:szCs w:val="21"/>
                <w:lang w:val="en-US" w:eastAsia="zh-CN"/>
              </w:rPr>
              <w:t>投标人</w:t>
            </w:r>
            <w:r>
              <w:rPr>
                <w:rFonts w:hint="default" w:ascii="Times New Roman" w:hAnsi="Times New Roman" w:eastAsia="方正仿宋_GBK" w:cs="Times New Roman"/>
                <w:sz w:val="21"/>
                <w:szCs w:val="21"/>
              </w:rPr>
              <w:t>完成的</w:t>
            </w:r>
            <w:r>
              <w:rPr>
                <w:rFonts w:hint="eastAsia" w:ascii="Times New Roman" w:hAnsi="Times New Roman" w:eastAsia="方正仿宋_GBK" w:cs="Times New Roman"/>
                <w:sz w:val="21"/>
                <w:szCs w:val="21"/>
                <w:lang w:val="en-US" w:eastAsia="zh-CN"/>
              </w:rPr>
              <w:t>网络安全等级保护测评全流程服务</w:t>
            </w:r>
            <w:r>
              <w:rPr>
                <w:rFonts w:hint="default" w:ascii="Times New Roman" w:hAnsi="Times New Roman" w:eastAsia="方正仿宋_GBK" w:cs="Times New Roman"/>
                <w:sz w:val="21"/>
                <w:szCs w:val="21"/>
              </w:rPr>
              <w:t>，每提供1个得</w:t>
            </w:r>
            <w:r>
              <w:rPr>
                <w:rFonts w:hint="eastAsia" w:ascii="Times New Roman" w:hAnsi="Times New Roman" w:eastAsia="方正仿宋_GBK" w:cs="Times New Roman"/>
                <w:sz w:val="21"/>
                <w:szCs w:val="21"/>
                <w:lang w:val="en-US" w:eastAsia="zh-CN"/>
              </w:rPr>
              <w:t>2.5</w:t>
            </w:r>
            <w:r>
              <w:rPr>
                <w:rFonts w:hint="default" w:ascii="Times New Roman" w:hAnsi="Times New Roman" w:eastAsia="方正仿宋_GBK" w:cs="Times New Roman"/>
                <w:sz w:val="21"/>
                <w:szCs w:val="21"/>
              </w:rPr>
              <w:t>分</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最高</w:t>
            </w:r>
            <w:r>
              <w:rPr>
                <w:rFonts w:hint="default" w:ascii="Times New Roman" w:hAnsi="Times New Roman" w:eastAsia="方正仿宋_GBK" w:cs="Times New Roman"/>
                <w:sz w:val="21"/>
                <w:szCs w:val="21"/>
                <w:lang w:eastAsia="zh-CN"/>
              </w:rPr>
              <w:t>不超过</w:t>
            </w:r>
            <w:r>
              <w:rPr>
                <w:rFonts w:hint="eastAsia"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分。</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需提供真实性承诺书</w:t>
            </w:r>
          </w:p>
        </w:tc>
      </w:tr>
    </w:tbl>
    <w:p>
      <w:pPr>
        <w:keepNext w:val="0"/>
        <w:keepLines w:val="0"/>
        <w:pageBreakBefore w:val="0"/>
        <w:widowControl w:val="0"/>
        <w:kinsoku/>
        <w:wordWrap/>
        <w:overflowPunct/>
        <w:topLinePunct w:val="0"/>
        <w:autoSpaceDE/>
        <w:autoSpaceDN/>
        <w:bidi w:val="0"/>
        <w:adjustRightInd/>
        <w:snapToGrid/>
        <w:spacing w:line="594" w:lineRule="exact"/>
        <w:textAlignment w:val="auto"/>
      </w:pP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E5B13"/>
    <w:rsid w:val="00F30B58"/>
    <w:rsid w:val="014C1132"/>
    <w:rsid w:val="019D255F"/>
    <w:rsid w:val="02360876"/>
    <w:rsid w:val="02496557"/>
    <w:rsid w:val="03DA4F0C"/>
    <w:rsid w:val="04F22928"/>
    <w:rsid w:val="082D4B3C"/>
    <w:rsid w:val="08FA6D43"/>
    <w:rsid w:val="0A630751"/>
    <w:rsid w:val="0AF3452E"/>
    <w:rsid w:val="0FF85004"/>
    <w:rsid w:val="11FF6747"/>
    <w:rsid w:val="120B4A3A"/>
    <w:rsid w:val="12BD6A64"/>
    <w:rsid w:val="12C871EB"/>
    <w:rsid w:val="15DB45DC"/>
    <w:rsid w:val="176B4444"/>
    <w:rsid w:val="181A70FF"/>
    <w:rsid w:val="18317A7E"/>
    <w:rsid w:val="18CA01C6"/>
    <w:rsid w:val="19A50851"/>
    <w:rsid w:val="1A3506DD"/>
    <w:rsid w:val="1BCE5B13"/>
    <w:rsid w:val="1BD26B5B"/>
    <w:rsid w:val="1C500AC2"/>
    <w:rsid w:val="1D683AE7"/>
    <w:rsid w:val="1D816C0D"/>
    <w:rsid w:val="1E5072C9"/>
    <w:rsid w:val="1F2E56D4"/>
    <w:rsid w:val="20CA219F"/>
    <w:rsid w:val="21666995"/>
    <w:rsid w:val="21E16341"/>
    <w:rsid w:val="22684F05"/>
    <w:rsid w:val="22C4452E"/>
    <w:rsid w:val="235F1271"/>
    <w:rsid w:val="240478FB"/>
    <w:rsid w:val="273D3E3E"/>
    <w:rsid w:val="279A26F6"/>
    <w:rsid w:val="294F2FEF"/>
    <w:rsid w:val="2B0E5FF6"/>
    <w:rsid w:val="2B25464B"/>
    <w:rsid w:val="30B56C3B"/>
    <w:rsid w:val="30F26C1B"/>
    <w:rsid w:val="30FB2162"/>
    <w:rsid w:val="31217F80"/>
    <w:rsid w:val="324C25A4"/>
    <w:rsid w:val="34343DA3"/>
    <w:rsid w:val="35C43139"/>
    <w:rsid w:val="36110EBB"/>
    <w:rsid w:val="37C2438E"/>
    <w:rsid w:val="386344DA"/>
    <w:rsid w:val="38EA67D6"/>
    <w:rsid w:val="39F704A8"/>
    <w:rsid w:val="3A7E593D"/>
    <w:rsid w:val="3B447868"/>
    <w:rsid w:val="3C6D62A2"/>
    <w:rsid w:val="3CBD493A"/>
    <w:rsid w:val="3D502E3E"/>
    <w:rsid w:val="3DF61E9F"/>
    <w:rsid w:val="3F2D405E"/>
    <w:rsid w:val="3FA3312C"/>
    <w:rsid w:val="3FB20CF2"/>
    <w:rsid w:val="408F6658"/>
    <w:rsid w:val="40D75510"/>
    <w:rsid w:val="417D040A"/>
    <w:rsid w:val="43311926"/>
    <w:rsid w:val="43F66023"/>
    <w:rsid w:val="44B64C6E"/>
    <w:rsid w:val="45633DBE"/>
    <w:rsid w:val="459773F6"/>
    <w:rsid w:val="45E736FE"/>
    <w:rsid w:val="46B60D4C"/>
    <w:rsid w:val="487D73FA"/>
    <w:rsid w:val="488622EF"/>
    <w:rsid w:val="492707E4"/>
    <w:rsid w:val="4A326D2C"/>
    <w:rsid w:val="4AFE4137"/>
    <w:rsid w:val="4C147830"/>
    <w:rsid w:val="4C480BE9"/>
    <w:rsid w:val="4D440F47"/>
    <w:rsid w:val="4F170B65"/>
    <w:rsid w:val="50FD475A"/>
    <w:rsid w:val="51341591"/>
    <w:rsid w:val="51394F07"/>
    <w:rsid w:val="5172252F"/>
    <w:rsid w:val="55C62171"/>
    <w:rsid w:val="565B000E"/>
    <w:rsid w:val="56FE3A31"/>
    <w:rsid w:val="575E3C33"/>
    <w:rsid w:val="57D00E19"/>
    <w:rsid w:val="595F31B6"/>
    <w:rsid w:val="5AE43919"/>
    <w:rsid w:val="5B4C6144"/>
    <w:rsid w:val="5BFE50A6"/>
    <w:rsid w:val="5C424A1F"/>
    <w:rsid w:val="5C8A0D82"/>
    <w:rsid w:val="5CA63F49"/>
    <w:rsid w:val="5CD61F9C"/>
    <w:rsid w:val="5D3352B6"/>
    <w:rsid w:val="5DB60E57"/>
    <w:rsid w:val="5E5D404D"/>
    <w:rsid w:val="5FEE5654"/>
    <w:rsid w:val="60236788"/>
    <w:rsid w:val="619F7976"/>
    <w:rsid w:val="62744672"/>
    <w:rsid w:val="62B22CD6"/>
    <w:rsid w:val="62BB5B25"/>
    <w:rsid w:val="63051449"/>
    <w:rsid w:val="64D7751D"/>
    <w:rsid w:val="696E0527"/>
    <w:rsid w:val="69B43370"/>
    <w:rsid w:val="6B4E2F19"/>
    <w:rsid w:val="6B6C3253"/>
    <w:rsid w:val="6DCF7C50"/>
    <w:rsid w:val="6EA84512"/>
    <w:rsid w:val="6F233A2A"/>
    <w:rsid w:val="6F62177E"/>
    <w:rsid w:val="73292E3C"/>
    <w:rsid w:val="75922BFD"/>
    <w:rsid w:val="770C2F5A"/>
    <w:rsid w:val="778B00B0"/>
    <w:rsid w:val="78295288"/>
    <w:rsid w:val="7BC940E6"/>
    <w:rsid w:val="7D676693"/>
    <w:rsid w:val="7D8401D5"/>
    <w:rsid w:val="7E7760DE"/>
    <w:rsid w:val="7E781B05"/>
    <w:rsid w:val="7F697339"/>
    <w:rsid w:val="7F846935"/>
    <w:rsid w:val="7F851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unhideWhenUsed/>
    <w:qFormat/>
    <w:uiPriority w:val="0"/>
    <w:pPr>
      <w:spacing w:line="576" w:lineRule="exact"/>
      <w:ind w:firstLine="602" w:firstLineChars="200"/>
      <w:outlineLvl w:val="2"/>
    </w:pPr>
    <w:rPr>
      <w:rFonts w:ascii="Times New Roman" w:hAnsi="Times New Roman" w:eastAsia="方正黑体_GBK" w:cs="Times New Roman"/>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widowControl w:val="0"/>
      <w:spacing w:line="360" w:lineRule="auto"/>
    </w:pPr>
    <w:rPr>
      <w:rFonts w:ascii="宋体" w:hAnsi="宋体"/>
    </w:rPr>
  </w:style>
  <w:style w:type="paragraph" w:styleId="3">
    <w:name w:val="Body Text"/>
    <w:basedOn w:val="1"/>
    <w:next w:val="1"/>
    <w:qFormat/>
    <w:uiPriority w:val="0"/>
    <w:pPr>
      <w:spacing w:after="120" w:line="500" w:lineRule="exact"/>
      <w:ind w:firstLine="200" w:firstLineChars="200"/>
    </w:pPr>
    <w:rPr>
      <w:rFonts w:ascii="Times New Roman" w:hAnsi="Times New Roman"/>
      <w:sz w:val="28"/>
      <w:szCs w:val="24"/>
    </w:rPr>
  </w:style>
  <w:style w:type="paragraph" w:styleId="5">
    <w:name w:val="annotation text"/>
    <w:basedOn w:val="1"/>
    <w:qFormat/>
    <w:uiPriority w:val="0"/>
    <w:pPr>
      <w:jc w:val="left"/>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样式1"/>
    <w:basedOn w:val="7"/>
    <w:next w:val="1"/>
    <w:qFormat/>
    <w:uiPriority w:val="0"/>
    <w:pPr>
      <w:tabs>
        <w:tab w:val="left" w:pos="720"/>
      </w:tabs>
      <w:ind w:firstLine="360"/>
    </w:pPr>
    <w:rPr>
      <w:sz w:val="28"/>
      <w:szCs w:val="20"/>
    </w:rPr>
  </w:style>
  <w:style w:type="character" w:customStyle="1" w:styleId="15">
    <w:name w:val="font21"/>
    <w:basedOn w:val="11"/>
    <w:qFormat/>
    <w:uiPriority w:val="0"/>
    <w:rPr>
      <w:rFonts w:hint="eastAsia" w:ascii="方正仿宋_GBK" w:hAnsi="方正仿宋_GBK" w:eastAsia="方正仿宋_GBK" w:cs="方正仿宋_GBK"/>
      <w:color w:val="000000"/>
      <w:sz w:val="28"/>
      <w:szCs w:val="28"/>
      <w:u w:val="none"/>
    </w:rPr>
  </w:style>
  <w:style w:type="character" w:customStyle="1" w:styleId="16">
    <w:name w:val="font11"/>
    <w:basedOn w:val="11"/>
    <w:qFormat/>
    <w:uiPriority w:val="0"/>
    <w:rPr>
      <w:rFonts w:hint="default" w:ascii="Times New Roman" w:hAnsi="Times New Roman" w:cs="Times New Roman"/>
      <w:color w:val="000000"/>
      <w:sz w:val="28"/>
      <w:szCs w:val="28"/>
      <w:u w:val="none"/>
    </w:rPr>
  </w:style>
  <w:style w:type="character" w:customStyle="1" w:styleId="17">
    <w:name w:val="font31"/>
    <w:basedOn w:val="11"/>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501</Words>
  <Characters>504</Characters>
  <Lines>0</Lines>
  <Paragraphs>0</Paragraphs>
  <TotalTime>8</TotalTime>
  <ScaleCrop>false</ScaleCrop>
  <LinksUpToDate>false</LinksUpToDate>
  <CharactersWithSpaces>504</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2023-12-20T08:36:00Z</dcterms:created>
  <dc:creator>user</dc:creator>
  <cp:lastModifiedBy>杨立</cp:lastModifiedBy>
  <dcterms:modified xsi:type="dcterms:W3CDTF">2026-05-09T06:27:48Z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KSOTemplateDocerSaveRecord">
    <vt:lpwstr>eyJoZGlkIjoiNjE2NWJhOWU1N2M1MWI3ZGYwMzVhMWFiM2YyOTRkNTkiLCJ1c2VySWQiOiIyNzYzMzc4OSJ9</vt:lpwstr>
  </property>
  <property fmtid="{D5CDD505-2E9C-101B-9397-08002B2CF9AE}" pid="4" name="ICV">
    <vt:lpwstr>757B50122EAA4D8ABB09DF02429BDCF1_12</vt:lpwstr>
  </property>
</Properties>
</file>