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944E4">
      <w:pPr>
        <w:autoSpaceDE w:val="0"/>
        <w:spacing w:line="360" w:lineRule="auto"/>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巨星花园A区1-7单元电梯维护保养服务</w:t>
      </w:r>
    </w:p>
    <w:p w14:paraId="121C2BB2">
      <w:pPr>
        <w:autoSpaceDE w:val="0"/>
        <w:spacing w:line="360" w:lineRule="auto"/>
        <w:jc w:val="center"/>
        <w:rPr>
          <w:rFonts w:hint="eastAsia" w:ascii="方正小标宋_GBK" w:hAnsi="方正小标宋_GBK" w:eastAsia="方正小标宋_GBK" w:cs="方正小标宋_GBK"/>
          <w:b w:val="0"/>
          <w:bCs w:val="0"/>
          <w:color w:val="auto"/>
          <w:sz w:val="44"/>
          <w:szCs w:val="44"/>
          <w:lang w:val="zh-CN"/>
        </w:rPr>
      </w:pPr>
      <w:r>
        <w:rPr>
          <w:rFonts w:hint="eastAsia" w:ascii="方正小标宋_GBK" w:hAnsi="方正小标宋_GBK" w:eastAsia="方正小标宋_GBK" w:cs="方正小标宋_GBK"/>
          <w:b w:val="0"/>
          <w:bCs w:val="0"/>
          <w:color w:val="auto"/>
          <w:sz w:val="44"/>
          <w:szCs w:val="44"/>
          <w:lang w:eastAsia="zh-CN"/>
        </w:rPr>
        <w:t>外包采购项目</w:t>
      </w:r>
    </w:p>
    <w:p w14:paraId="31FFB3BB">
      <w:pPr>
        <w:autoSpaceDE w:val="0"/>
        <w:spacing w:line="360" w:lineRule="auto"/>
        <w:jc w:val="center"/>
        <w:rPr>
          <w:rFonts w:hint="eastAsia" w:ascii="Times New Roman" w:hAnsi="Times New Roman" w:eastAsia="方正小标宋_GBK" w:cs="Times New Roman"/>
          <w:b/>
          <w:color w:val="auto"/>
          <w:sz w:val="52"/>
          <w:szCs w:val="52"/>
          <w:highlight w:val="none"/>
          <w:lang w:val="zh-CN" w:eastAsia="zh-CN"/>
        </w:rPr>
      </w:pPr>
    </w:p>
    <w:p w14:paraId="5CC5F10E">
      <w:pPr>
        <w:autoSpaceDE w:val="0"/>
        <w:spacing w:line="360" w:lineRule="auto"/>
        <w:jc w:val="center"/>
        <w:rPr>
          <w:rFonts w:hint="eastAsia" w:ascii="方正小标宋_GBK" w:hAnsi="方正小标宋_GBK" w:eastAsia="方正小标宋_GBK" w:cs="方正小标宋_GBK"/>
          <w:b/>
          <w:color w:val="auto"/>
          <w:sz w:val="44"/>
          <w:szCs w:val="44"/>
          <w:lang w:val="zh-CN"/>
        </w:rPr>
      </w:pPr>
      <w:r>
        <w:rPr>
          <w:rFonts w:hint="eastAsia" w:ascii="Times New Roman" w:hAnsi="Times New Roman" w:eastAsia="方正小标宋_GBK" w:cs="Times New Roman"/>
          <w:b/>
          <w:color w:val="auto"/>
          <w:sz w:val="52"/>
          <w:szCs w:val="52"/>
          <w:highlight w:val="none"/>
          <w:lang w:val="zh-CN" w:eastAsia="zh-CN"/>
        </w:rPr>
        <w:t>公开比选文件</w:t>
      </w:r>
    </w:p>
    <w:p w14:paraId="557DB266">
      <w:pPr>
        <w:autoSpaceDE w:val="0"/>
        <w:spacing w:line="360" w:lineRule="auto"/>
        <w:jc w:val="center"/>
        <w:rPr>
          <w:rFonts w:ascii="黑体" w:hAnsi="黑体" w:eastAsia="黑体" w:cs="宋体-18030"/>
          <w:color w:val="auto"/>
          <w:sz w:val="36"/>
          <w:szCs w:val="36"/>
          <w:lang w:val="zh-CN"/>
        </w:rPr>
      </w:pPr>
    </w:p>
    <w:p w14:paraId="704D2F2F">
      <w:pPr>
        <w:jc w:val="center"/>
        <w:rPr>
          <w:rFonts w:hint="eastAsia" w:ascii="方正小标宋_GBK" w:hAnsi="宋体" w:eastAsia="方正小标宋_GBK"/>
          <w:color w:val="auto"/>
          <w:sz w:val="30"/>
          <w:szCs w:val="30"/>
        </w:rPr>
      </w:pPr>
      <w:r>
        <w:rPr>
          <w:rFonts w:hint="eastAsia" w:ascii="方正小标宋_GBK" w:hAnsi="宋体" w:eastAsia="方正小标宋_GBK"/>
          <w:color w:val="auto"/>
          <w:sz w:val="30"/>
          <w:szCs w:val="30"/>
        </w:rPr>
        <w:t xml:space="preserve"> </w:t>
      </w:r>
    </w:p>
    <w:p w14:paraId="372AE69D">
      <w:pPr>
        <w:autoSpaceDE w:val="0"/>
        <w:spacing w:line="360" w:lineRule="auto"/>
        <w:jc w:val="center"/>
        <w:rPr>
          <w:rFonts w:ascii="黑体" w:hAnsi="黑体" w:eastAsia="黑体" w:cs="宋体-18030"/>
          <w:color w:val="auto"/>
          <w:sz w:val="36"/>
          <w:szCs w:val="36"/>
          <w:lang w:val="zh-CN"/>
        </w:rPr>
      </w:pPr>
    </w:p>
    <w:p w14:paraId="3BFAF101">
      <w:pPr>
        <w:autoSpaceDE w:val="0"/>
        <w:spacing w:line="360" w:lineRule="auto"/>
        <w:jc w:val="center"/>
        <w:rPr>
          <w:rFonts w:ascii="黑体" w:hAnsi="黑体" w:eastAsia="黑体" w:cs="宋体-18030"/>
          <w:color w:val="auto"/>
          <w:sz w:val="36"/>
          <w:szCs w:val="36"/>
          <w:lang w:val="zh-CN"/>
        </w:rPr>
      </w:pPr>
    </w:p>
    <w:p w14:paraId="2E2A4141">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eastAsia="方正小标宋_GBK" w:cs="Times New Roman"/>
          <w:color w:val="auto"/>
          <w:sz w:val="30"/>
          <w:szCs w:val="30"/>
          <w:highlight w:val="none"/>
        </w:rPr>
      </w:pPr>
    </w:p>
    <w:p w14:paraId="3F542A92">
      <w:pPr>
        <w:keepNext w:val="0"/>
        <w:keepLines w:val="0"/>
        <w:pageBreakBefore w:val="0"/>
        <w:widowControl w:val="0"/>
        <w:kinsoku/>
        <w:wordWrap/>
        <w:overflowPunct/>
        <w:topLinePunct w:val="0"/>
        <w:autoSpaceDE/>
        <w:autoSpaceDN/>
        <w:bidi w:val="0"/>
        <w:adjustRightInd/>
        <w:snapToGrid/>
        <w:spacing w:line="700" w:lineRule="exact"/>
        <w:ind w:firstLine="300" w:firstLineChars="100"/>
        <w:jc w:val="left"/>
        <w:textAlignment w:val="auto"/>
        <w:rPr>
          <w:rFonts w:hint="default" w:ascii="Times New Roman" w:hAnsi="Times New Roman" w:eastAsia="方正小标宋_GBK" w:cs="Times New Roman"/>
          <w:color w:val="auto"/>
          <w:sz w:val="30"/>
          <w:szCs w:val="30"/>
          <w:highlight w:val="none"/>
          <w:lang w:val="en-US" w:eastAsia="zh-CN"/>
        </w:rPr>
      </w:pPr>
      <w:r>
        <w:rPr>
          <w:rFonts w:hint="default" w:ascii="Times New Roman" w:hAnsi="Times New Roman" w:eastAsia="方正小标宋_GBK" w:cs="Times New Roman"/>
          <w:color w:val="auto"/>
          <w:sz w:val="30"/>
          <w:szCs w:val="30"/>
          <w:highlight w:val="none"/>
        </w:rPr>
        <w:t>项目名称</w:t>
      </w:r>
      <w:r>
        <w:rPr>
          <w:rFonts w:hint="default" w:ascii="Times New Roman" w:hAnsi="Times New Roman" w:eastAsia="方正小标宋_GBK" w:cs="Times New Roman"/>
          <w:color w:val="auto"/>
          <w:sz w:val="30"/>
          <w:szCs w:val="30"/>
          <w:highlight w:val="none"/>
          <w:lang w:eastAsia="zh-CN"/>
        </w:rPr>
        <w:t>：</w:t>
      </w:r>
      <w:r>
        <w:rPr>
          <w:rFonts w:hint="eastAsia" w:ascii="方正仿宋_GBK" w:hAnsi="方正仿宋_GBK" w:eastAsia="方正仿宋_GBK" w:cs="方正仿宋_GBK"/>
          <w:color w:val="auto"/>
          <w:sz w:val="30"/>
          <w:szCs w:val="30"/>
          <w:highlight w:val="none"/>
          <w:u w:val="single"/>
          <w:lang w:val="en-US" w:eastAsia="zh-CN"/>
        </w:rPr>
        <w:t>巨星花</w:t>
      </w:r>
      <w:r>
        <w:rPr>
          <w:rFonts w:hint="default" w:ascii="Times New Roman" w:hAnsi="Times New Roman" w:eastAsia="方正仿宋_GBK" w:cs="Times New Roman"/>
          <w:color w:val="auto"/>
          <w:sz w:val="30"/>
          <w:szCs w:val="30"/>
          <w:highlight w:val="none"/>
          <w:u w:val="single"/>
          <w:lang w:val="en-US" w:eastAsia="zh-CN"/>
        </w:rPr>
        <w:t>园A区1-7单元电梯维护保养服务外包</w:t>
      </w:r>
      <w:r>
        <w:rPr>
          <w:rFonts w:hint="default" w:ascii="Times New Roman" w:hAnsi="Times New Roman" w:eastAsia="方正仿宋_GBK" w:cs="Times New Roman"/>
          <w:color w:val="auto"/>
          <w:sz w:val="30"/>
          <w:szCs w:val="30"/>
          <w:highlight w:val="none"/>
          <w:u w:val="single"/>
          <w:lang w:eastAsia="zh-CN"/>
        </w:rPr>
        <w:t>采购项目</w:t>
      </w:r>
    </w:p>
    <w:p w14:paraId="271B2C2F">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rPr>
          <w:rFonts w:hint="default" w:ascii="Times New Roman" w:hAnsi="Times New Roman" w:eastAsia="方正小标宋_GBK" w:cs="Times New Roman"/>
          <w:color w:val="auto"/>
          <w:sz w:val="30"/>
          <w:szCs w:val="30"/>
          <w:highlight w:val="none"/>
          <w:lang w:eastAsia="zh-CN"/>
        </w:rPr>
      </w:pPr>
    </w:p>
    <w:p w14:paraId="43CCA3E8">
      <w:pPr>
        <w:keepNext w:val="0"/>
        <w:keepLines w:val="0"/>
        <w:pageBreakBefore w:val="0"/>
        <w:widowControl w:val="0"/>
        <w:kinsoku/>
        <w:wordWrap/>
        <w:overflowPunct/>
        <w:topLinePunct w:val="0"/>
        <w:autoSpaceDE/>
        <w:autoSpaceDN/>
        <w:bidi w:val="0"/>
        <w:adjustRightInd/>
        <w:snapToGrid/>
        <w:spacing w:line="700" w:lineRule="exact"/>
        <w:ind w:firstLine="300" w:firstLineChars="100"/>
        <w:jc w:val="left"/>
        <w:textAlignment w:val="auto"/>
        <w:rPr>
          <w:rFonts w:hint="default" w:ascii="Times New Roman" w:hAnsi="Times New Roman" w:eastAsia="方正小标宋_GBK" w:cs="Times New Roman"/>
          <w:color w:val="auto"/>
          <w:sz w:val="30"/>
          <w:szCs w:val="30"/>
          <w:highlight w:val="none"/>
          <w:lang w:val="en-US"/>
        </w:rPr>
      </w:pPr>
      <w:r>
        <w:rPr>
          <w:rFonts w:hint="default" w:ascii="Times New Roman" w:hAnsi="Times New Roman" w:eastAsia="方正小标宋_GBK" w:cs="Times New Roman"/>
          <w:color w:val="auto"/>
          <w:sz w:val="30"/>
          <w:szCs w:val="30"/>
          <w:highlight w:val="none"/>
          <w:lang w:eastAsia="zh-CN"/>
        </w:rPr>
        <w:t>比选</w:t>
      </w:r>
      <w:r>
        <w:rPr>
          <w:rFonts w:hint="default" w:ascii="Times New Roman" w:hAnsi="Times New Roman" w:eastAsia="方正小标宋_GBK" w:cs="Times New Roman"/>
          <w:color w:val="auto"/>
          <w:sz w:val="30"/>
          <w:szCs w:val="30"/>
          <w:highlight w:val="none"/>
        </w:rPr>
        <w:t>单位：</w:t>
      </w:r>
      <w:r>
        <w:rPr>
          <w:rFonts w:hint="eastAsia" w:ascii="方正仿宋_GBK" w:hAnsi="方正仿宋_GBK" w:eastAsia="方正仿宋_GBK" w:cs="方正仿宋_GBK"/>
          <w:color w:val="auto"/>
          <w:sz w:val="30"/>
          <w:szCs w:val="30"/>
          <w:highlight w:val="none"/>
          <w:u w:val="single"/>
          <w:lang w:val="en-US" w:eastAsia="zh-CN"/>
        </w:rPr>
        <w:t xml:space="preserve">            </w:t>
      </w:r>
      <w:r>
        <w:rPr>
          <w:rFonts w:hint="eastAsia" w:ascii="方正仿宋_GBK" w:hAnsi="方正仿宋_GBK" w:eastAsia="方正仿宋_GBK" w:cs="方正仿宋_GBK"/>
          <w:color w:val="auto"/>
          <w:sz w:val="30"/>
          <w:szCs w:val="30"/>
          <w:highlight w:val="none"/>
          <w:u w:val="single"/>
          <w:lang w:eastAsia="zh-CN"/>
        </w:rPr>
        <w:t>重庆市种畜场</w:t>
      </w:r>
      <w:r>
        <w:rPr>
          <w:rFonts w:hint="eastAsia" w:ascii="方正仿宋_GBK" w:hAnsi="方正仿宋_GBK" w:eastAsia="方正仿宋_GBK" w:cs="方正仿宋_GBK"/>
          <w:color w:val="auto"/>
          <w:sz w:val="30"/>
          <w:szCs w:val="30"/>
          <w:highlight w:val="none"/>
          <w:u w:val="single"/>
          <w:lang w:val="en-US" w:eastAsia="zh-CN"/>
        </w:rPr>
        <w:t xml:space="preserve">               </w:t>
      </w:r>
    </w:p>
    <w:p w14:paraId="5EDB4F47">
      <w:pPr>
        <w:autoSpaceDE w:val="0"/>
        <w:spacing w:line="360" w:lineRule="auto"/>
        <w:jc w:val="center"/>
        <w:rPr>
          <w:rFonts w:hint="eastAsia" w:ascii="黑体" w:hAnsi="黑体" w:eastAsia="黑体" w:cs="宋体-18030"/>
          <w:color w:val="auto"/>
          <w:sz w:val="36"/>
          <w:szCs w:val="36"/>
          <w:lang w:val="zh-CN"/>
        </w:rPr>
      </w:pPr>
    </w:p>
    <w:p w14:paraId="794BC8C8">
      <w:pPr>
        <w:autoSpaceDE w:val="0"/>
        <w:spacing w:line="360" w:lineRule="auto"/>
        <w:jc w:val="center"/>
        <w:rPr>
          <w:rFonts w:hint="eastAsia" w:ascii="黑体" w:hAnsi="黑体" w:eastAsia="黑体" w:cs="宋体-18030"/>
          <w:color w:val="auto"/>
          <w:sz w:val="36"/>
          <w:szCs w:val="36"/>
          <w:lang w:val="zh-CN"/>
        </w:rPr>
      </w:pPr>
    </w:p>
    <w:p w14:paraId="7E9BC5DA">
      <w:pPr>
        <w:rPr>
          <w:rFonts w:hint="eastAsia" w:ascii="仿宋_GB2312" w:hAnsi="仿宋_GB2312" w:eastAsia="仿宋_GB2312"/>
          <w:b/>
          <w:color w:val="auto"/>
          <w:sz w:val="32"/>
          <w:szCs w:val="32"/>
        </w:rPr>
      </w:pPr>
    </w:p>
    <w:p w14:paraId="0C9EB11E">
      <w:pPr>
        <w:jc w:val="both"/>
        <w:rPr>
          <w:rFonts w:hint="eastAsia" w:ascii="方正仿宋_GBK" w:hAnsi="方正仿宋_GBK" w:eastAsia="方正仿宋_GBK" w:cs="方正仿宋_GBK"/>
          <w:b/>
          <w:color w:val="auto"/>
          <w:sz w:val="32"/>
          <w:szCs w:val="32"/>
        </w:rPr>
      </w:pPr>
    </w:p>
    <w:p w14:paraId="0720FEF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imes New Roman" w:hAnsi="Times New Roman" w:eastAsia="方正小标宋_GBK" w:cs="Times New Roman"/>
          <w:color w:val="auto"/>
          <w:sz w:val="30"/>
          <w:szCs w:val="30"/>
          <w:highlight w:val="none"/>
        </w:rPr>
      </w:pPr>
      <w:r>
        <w:rPr>
          <w:rFonts w:hint="eastAsia" w:ascii="Times New Roman" w:hAnsi="Times New Roman" w:eastAsia="方正小标宋_GBK" w:cs="Times New Roman"/>
          <w:color w:val="auto"/>
          <w:sz w:val="30"/>
          <w:szCs w:val="30"/>
          <w:highlight w:val="none"/>
          <w:lang w:val="en-US" w:eastAsia="zh-CN"/>
        </w:rPr>
        <w:t>2025</w:t>
      </w:r>
      <w:r>
        <w:rPr>
          <w:rFonts w:hint="eastAsia" w:ascii="Times New Roman" w:hAnsi="Times New Roman" w:eastAsia="方正小标宋_GBK" w:cs="Times New Roman"/>
          <w:color w:val="auto"/>
          <w:sz w:val="30"/>
          <w:szCs w:val="30"/>
          <w:highlight w:val="none"/>
        </w:rPr>
        <w:t>年</w:t>
      </w:r>
      <w:r>
        <w:rPr>
          <w:rFonts w:hint="eastAsia" w:ascii="Times New Roman" w:hAnsi="Times New Roman" w:eastAsia="方正小标宋_GBK" w:cs="Times New Roman"/>
          <w:color w:val="auto"/>
          <w:sz w:val="30"/>
          <w:szCs w:val="30"/>
          <w:highlight w:val="none"/>
          <w:lang w:val="en-US" w:eastAsia="zh-CN"/>
        </w:rPr>
        <w:t>5</w:t>
      </w:r>
      <w:r>
        <w:rPr>
          <w:rFonts w:hint="eastAsia" w:ascii="Times New Roman" w:hAnsi="Times New Roman" w:eastAsia="方正小标宋_GBK" w:cs="Times New Roman"/>
          <w:color w:val="auto"/>
          <w:sz w:val="30"/>
          <w:szCs w:val="30"/>
          <w:highlight w:val="none"/>
        </w:rPr>
        <w:t>月</w:t>
      </w:r>
    </w:p>
    <w:p w14:paraId="46828F82">
      <w:pPr>
        <w:spacing w:line="360" w:lineRule="auto"/>
        <w:jc w:val="both"/>
        <w:rPr>
          <w:rFonts w:hint="eastAsia" w:ascii="黑体" w:hAnsi="黑体" w:eastAsia="黑体" w:cs="黑体"/>
          <w:b/>
          <w:color w:val="auto"/>
          <w:sz w:val="44"/>
          <w:szCs w:val="44"/>
        </w:rPr>
      </w:pPr>
    </w:p>
    <w:p w14:paraId="7A706651">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b/>
          <w:color w:val="auto"/>
          <w:sz w:val="44"/>
          <w:szCs w:val="44"/>
        </w:rPr>
      </w:pPr>
    </w:p>
    <w:p w14:paraId="44A5647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lang w:val="en-US" w:eastAsia="zh-CN"/>
        </w:rPr>
        <w:t>巨星花园A区1-7单元电梯维护保养</w:t>
      </w:r>
      <w:r>
        <w:rPr>
          <w:rFonts w:hint="eastAsia" w:ascii="方正小标宋_GBK" w:hAnsi="方正小标宋_GBK" w:eastAsia="方正小标宋_GBK" w:cs="方正小标宋_GBK"/>
          <w:b/>
          <w:color w:val="auto"/>
          <w:sz w:val="44"/>
          <w:szCs w:val="44"/>
        </w:rPr>
        <w:t>服务</w:t>
      </w:r>
    </w:p>
    <w:p w14:paraId="6214544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外包</w:t>
      </w:r>
      <w:r>
        <w:rPr>
          <w:rFonts w:hint="eastAsia" w:ascii="方正小标宋_GBK" w:hAnsi="方正小标宋_GBK" w:eastAsia="方正小标宋_GBK" w:cs="方正小标宋_GBK"/>
          <w:b/>
          <w:color w:val="auto"/>
          <w:sz w:val="44"/>
          <w:szCs w:val="44"/>
          <w:lang w:val="en-US" w:eastAsia="zh-CN"/>
        </w:rPr>
        <w:t>采购项目公开比选</w:t>
      </w:r>
      <w:r>
        <w:rPr>
          <w:rFonts w:hint="eastAsia" w:ascii="方正小标宋_GBK" w:hAnsi="方正小标宋_GBK" w:eastAsia="方正小标宋_GBK" w:cs="方正小标宋_GBK"/>
          <w:b/>
          <w:color w:val="auto"/>
          <w:sz w:val="44"/>
          <w:szCs w:val="44"/>
        </w:rPr>
        <w:t>文件</w:t>
      </w:r>
    </w:p>
    <w:p w14:paraId="17FB84F4">
      <w:pPr>
        <w:pStyle w:val="7"/>
        <w:ind w:firstLine="560"/>
        <w:rPr>
          <w:color w:val="auto"/>
        </w:rPr>
      </w:pP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69"/>
        <w:gridCol w:w="7254"/>
      </w:tblGrid>
      <w:tr w14:paraId="4C6A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8" w:type="dxa"/>
            <w:vAlign w:val="center"/>
          </w:tcPr>
          <w:p w14:paraId="2AD7BBFE">
            <w:pPr>
              <w:snapToGrid w:val="0"/>
              <w:spacing w:line="37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 号</w:t>
            </w:r>
          </w:p>
        </w:tc>
        <w:tc>
          <w:tcPr>
            <w:tcW w:w="1769" w:type="dxa"/>
            <w:vAlign w:val="center"/>
          </w:tcPr>
          <w:p w14:paraId="6B36AA27">
            <w:pPr>
              <w:snapToGrid w:val="0"/>
              <w:spacing w:line="37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项  目</w:t>
            </w:r>
          </w:p>
        </w:tc>
        <w:tc>
          <w:tcPr>
            <w:tcW w:w="7254" w:type="dxa"/>
            <w:vAlign w:val="center"/>
          </w:tcPr>
          <w:p w14:paraId="636FC018">
            <w:pPr>
              <w:snapToGrid w:val="0"/>
              <w:spacing w:line="370" w:lineRule="exact"/>
              <w:ind w:left="-630" w:leftChars="-30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内    容</w:t>
            </w:r>
          </w:p>
        </w:tc>
      </w:tr>
      <w:tr w14:paraId="7796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28" w:type="dxa"/>
            <w:vMerge w:val="restart"/>
            <w:vAlign w:val="center"/>
          </w:tcPr>
          <w:p w14:paraId="08398F6F">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1</w:t>
            </w:r>
          </w:p>
        </w:tc>
        <w:tc>
          <w:tcPr>
            <w:tcW w:w="1769" w:type="dxa"/>
            <w:vMerge w:val="restart"/>
            <w:vAlign w:val="center"/>
          </w:tcPr>
          <w:p w14:paraId="1E11F146">
            <w:pPr>
              <w:snapToGrid w:val="0"/>
              <w:spacing w:line="370" w:lineRule="exact"/>
              <w:jc w:val="center"/>
              <w:rPr>
                <w:rFonts w:hint="default" w:ascii="Times New Roman" w:hAnsi="Times New Roman" w:eastAsia="方正仿宋_GBK" w:cs="Times New Roman"/>
                <w:b/>
                <w:bCs w:val="0"/>
                <w:color w:val="auto"/>
                <w:sz w:val="24"/>
                <w:szCs w:val="24"/>
              </w:rPr>
            </w:pPr>
            <w:r>
              <w:rPr>
                <w:rFonts w:hint="default" w:ascii="Times New Roman" w:hAnsi="Times New Roman" w:eastAsia="方正仿宋_GBK" w:cs="Times New Roman"/>
                <w:b/>
                <w:bCs w:val="0"/>
                <w:color w:val="auto"/>
                <w:sz w:val="24"/>
                <w:szCs w:val="24"/>
              </w:rPr>
              <w:t>项目概况</w:t>
            </w:r>
          </w:p>
        </w:tc>
        <w:tc>
          <w:tcPr>
            <w:tcW w:w="7254" w:type="dxa"/>
            <w:vAlign w:val="center"/>
          </w:tcPr>
          <w:p w14:paraId="49F725B7">
            <w:pPr>
              <w:keepNext w:val="0"/>
              <w:keepLines w:val="0"/>
              <w:pageBreakBefore w:val="0"/>
              <w:widowControl w:val="0"/>
              <w:kinsoku/>
              <w:wordWrap/>
              <w:overflowPunct/>
              <w:topLinePunct w:val="0"/>
              <w:bidi w:val="0"/>
              <w:spacing w:line="360" w:lineRule="exact"/>
              <w:jc w:val="both"/>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项目名称：</w:t>
            </w:r>
            <w:r>
              <w:rPr>
                <w:rFonts w:hint="eastAsia" w:ascii="Times New Roman" w:hAnsi="Times New Roman" w:eastAsia="方正仿宋_GBK" w:cs="Times New Roman"/>
                <w:bCs/>
                <w:color w:val="auto"/>
                <w:sz w:val="24"/>
                <w:szCs w:val="24"/>
                <w:lang w:val="en-US" w:eastAsia="zh-CN"/>
              </w:rPr>
              <w:t>巨星花园A区1-7单元</w:t>
            </w:r>
            <w:r>
              <w:rPr>
                <w:rFonts w:hint="eastAsia" w:ascii="Times New Roman" w:hAnsi="Times New Roman" w:eastAsia="方正仿宋_GBK" w:cs="Times New Roman"/>
                <w:bCs/>
                <w:color w:val="auto"/>
                <w:sz w:val="24"/>
                <w:szCs w:val="24"/>
                <w:lang w:eastAsia="zh-CN"/>
              </w:rPr>
              <w:t>电梯维护保养</w:t>
            </w:r>
            <w:r>
              <w:rPr>
                <w:rFonts w:hint="default" w:ascii="Times New Roman" w:hAnsi="Times New Roman" w:eastAsia="方正仿宋_GBK" w:cs="Times New Roman"/>
                <w:bCs/>
                <w:color w:val="auto"/>
                <w:sz w:val="24"/>
                <w:szCs w:val="24"/>
              </w:rPr>
              <w:t>服务</w:t>
            </w:r>
            <w:r>
              <w:rPr>
                <w:rFonts w:hint="eastAsia" w:ascii="Times New Roman" w:hAnsi="Times New Roman" w:eastAsia="方正仿宋_GBK" w:cs="Times New Roman"/>
                <w:bCs/>
                <w:color w:val="auto"/>
                <w:sz w:val="24"/>
                <w:szCs w:val="24"/>
                <w:lang w:val="en-US" w:eastAsia="zh-CN"/>
              </w:rPr>
              <w:t>采购项目</w:t>
            </w:r>
          </w:p>
        </w:tc>
      </w:tr>
      <w:tr w14:paraId="1F31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vMerge w:val="continue"/>
            <w:vAlign w:val="center"/>
          </w:tcPr>
          <w:p w14:paraId="1A028B1F">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0559A037">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1A0496C1">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lang w:val="en-US"/>
              </w:rPr>
            </w:pPr>
            <w:r>
              <w:rPr>
                <w:rFonts w:hint="default" w:ascii="Times New Roman" w:hAnsi="Times New Roman" w:eastAsia="方正仿宋_GBK" w:cs="Times New Roman"/>
                <w:bCs/>
                <w:color w:val="auto"/>
                <w:sz w:val="24"/>
                <w:szCs w:val="24"/>
              </w:rPr>
              <w:t>项目地点：重庆市</w:t>
            </w:r>
            <w:r>
              <w:rPr>
                <w:rFonts w:hint="eastAsia" w:ascii="Times New Roman" w:hAnsi="Times New Roman" w:eastAsia="方正仿宋_GBK" w:cs="Times New Roman"/>
                <w:bCs/>
                <w:color w:val="auto"/>
                <w:sz w:val="24"/>
                <w:szCs w:val="24"/>
                <w:lang w:val="en-US" w:eastAsia="zh-CN"/>
              </w:rPr>
              <w:t>巴南区李家沱西流沱四村巨星花园A区</w:t>
            </w:r>
          </w:p>
        </w:tc>
      </w:tr>
      <w:tr w14:paraId="0E83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Merge w:val="continue"/>
            <w:vAlign w:val="center"/>
          </w:tcPr>
          <w:p w14:paraId="79D029DC">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043A1640">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0B448D86">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招标内容：</w:t>
            </w:r>
            <w:r>
              <w:rPr>
                <w:rFonts w:hint="eastAsia" w:ascii="Times New Roman" w:hAnsi="Times New Roman" w:eastAsia="方正仿宋_GBK" w:cs="Times New Roman"/>
                <w:bCs/>
                <w:color w:val="auto"/>
                <w:sz w:val="24"/>
                <w:szCs w:val="24"/>
                <w:lang w:val="en-US" w:eastAsia="zh-CN"/>
              </w:rPr>
              <w:t>巨星花园A区1-7单元电梯维护保养</w:t>
            </w:r>
            <w:r>
              <w:rPr>
                <w:rFonts w:hint="default" w:ascii="Times New Roman" w:hAnsi="Times New Roman" w:eastAsia="方正仿宋_GBK" w:cs="Times New Roman"/>
                <w:bCs/>
                <w:color w:val="auto"/>
                <w:sz w:val="24"/>
                <w:szCs w:val="24"/>
              </w:rPr>
              <w:t>服务外包</w:t>
            </w:r>
          </w:p>
        </w:tc>
      </w:tr>
      <w:tr w14:paraId="427C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28" w:type="dxa"/>
            <w:vMerge w:val="restart"/>
            <w:vAlign w:val="center"/>
          </w:tcPr>
          <w:p w14:paraId="1C40A856">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w:t>
            </w:r>
          </w:p>
        </w:tc>
        <w:tc>
          <w:tcPr>
            <w:tcW w:w="1769" w:type="dxa"/>
            <w:vMerge w:val="restart"/>
            <w:vAlign w:val="center"/>
          </w:tcPr>
          <w:p w14:paraId="700F4655">
            <w:pPr>
              <w:snapToGrid w:val="0"/>
              <w:spacing w:line="370" w:lineRule="exact"/>
              <w:jc w:val="center"/>
              <w:rPr>
                <w:rFonts w:hint="default" w:ascii="Times New Roman" w:hAnsi="Times New Roman" w:eastAsia="方正仿宋_GBK" w:cs="Times New Roman"/>
                <w:b/>
                <w:bCs w:val="0"/>
                <w:color w:val="auto"/>
                <w:sz w:val="24"/>
                <w:szCs w:val="24"/>
              </w:rPr>
            </w:pPr>
            <w:r>
              <w:rPr>
                <w:rFonts w:hint="eastAsia" w:ascii="Times New Roman" w:hAnsi="Times New Roman" w:eastAsia="方正仿宋_GBK" w:cs="Times New Roman"/>
                <w:b/>
                <w:bCs w:val="0"/>
                <w:color w:val="auto"/>
                <w:sz w:val="24"/>
                <w:szCs w:val="24"/>
                <w:lang w:val="en-US" w:eastAsia="zh-CN"/>
              </w:rPr>
              <w:t>比选</w:t>
            </w:r>
            <w:r>
              <w:rPr>
                <w:rFonts w:hint="default" w:ascii="Times New Roman" w:hAnsi="Times New Roman" w:eastAsia="方正仿宋_GBK" w:cs="Times New Roman"/>
                <w:b/>
                <w:bCs w:val="0"/>
                <w:color w:val="auto"/>
                <w:sz w:val="24"/>
                <w:szCs w:val="24"/>
              </w:rPr>
              <w:t>要求</w:t>
            </w:r>
          </w:p>
        </w:tc>
        <w:tc>
          <w:tcPr>
            <w:tcW w:w="7254" w:type="dxa"/>
            <w:vAlign w:val="center"/>
          </w:tcPr>
          <w:p w14:paraId="0085BFA9">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服务</w:t>
            </w:r>
            <w:r>
              <w:rPr>
                <w:rFonts w:hint="eastAsia" w:ascii="Times New Roman" w:hAnsi="Times New Roman" w:eastAsia="方正仿宋_GBK" w:cs="Times New Roman"/>
                <w:bCs/>
                <w:color w:val="auto"/>
                <w:sz w:val="24"/>
                <w:szCs w:val="24"/>
                <w:lang w:val="en-US" w:eastAsia="zh-CN"/>
              </w:rPr>
              <w:t>质量和</w:t>
            </w:r>
            <w:r>
              <w:rPr>
                <w:rFonts w:hint="default" w:ascii="Times New Roman" w:hAnsi="Times New Roman" w:eastAsia="方正仿宋_GBK" w:cs="Times New Roman"/>
                <w:bCs/>
                <w:color w:val="auto"/>
                <w:sz w:val="24"/>
                <w:szCs w:val="24"/>
              </w:rPr>
              <w:t>标准：</w:t>
            </w:r>
            <w:r>
              <w:rPr>
                <w:rFonts w:hint="eastAsia" w:ascii="方正仿宋_GBK" w:hAnsi="方正仿宋_GBK" w:eastAsia="方正仿宋_GBK" w:cs="方正仿宋_GBK"/>
                <w:color w:val="auto"/>
                <w:sz w:val="24"/>
                <w:szCs w:val="24"/>
                <w:lang w:val="en-US" w:eastAsia="zh-CN"/>
              </w:rPr>
              <w:t>服务质量和标准不得低于国家及重庆市关于电梯维护保养服务的标准及要求。</w:t>
            </w:r>
          </w:p>
        </w:tc>
      </w:tr>
      <w:tr w14:paraId="1BB3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28" w:type="dxa"/>
            <w:vMerge w:val="continue"/>
            <w:vAlign w:val="center"/>
          </w:tcPr>
          <w:p w14:paraId="4D7F5FAA">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2C805EE3">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0CFF0F3E">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服务期限：</w:t>
            </w:r>
            <w:r>
              <w:rPr>
                <w:rFonts w:hint="default" w:ascii="Times New Roman" w:hAnsi="Times New Roman" w:eastAsia="方正仿宋_GBK" w:cs="Times New Roman"/>
                <w:color w:val="auto"/>
                <w:sz w:val="24"/>
                <w:szCs w:val="24"/>
                <w:lang w:val="en-US" w:eastAsia="zh-CN"/>
              </w:rPr>
              <w:t>合作期限为</w:t>
            </w:r>
            <w:r>
              <w:rPr>
                <w:rFonts w:hint="eastAsia" w:ascii="Times New Roman" w:hAnsi="Times New Roman" w:eastAsia="方正仿宋_GBK" w:cs="Times New Roman"/>
                <w:color w:val="auto"/>
                <w:sz w:val="24"/>
                <w:szCs w:val="24"/>
                <w:lang w:val="en-US" w:eastAsia="zh-CN"/>
              </w:rPr>
              <w:t>叁</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从202</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23</w:t>
            </w:r>
            <w:r>
              <w:rPr>
                <w:rFonts w:hint="default" w:ascii="Times New Roman" w:hAnsi="Times New Roman" w:eastAsia="方正仿宋_GBK" w:cs="Times New Roman"/>
                <w:color w:val="auto"/>
                <w:sz w:val="24"/>
                <w:szCs w:val="24"/>
                <w:lang w:val="en-US" w:eastAsia="zh-CN"/>
              </w:rPr>
              <w:t>日起—202</w:t>
            </w:r>
            <w:r>
              <w:rPr>
                <w:rFonts w:hint="eastAsia" w:ascii="Times New Roman" w:hAnsi="Times New Roman" w:eastAsia="方正仿宋_GBK" w:cs="Times New Roman"/>
                <w:color w:val="auto"/>
                <w:sz w:val="24"/>
                <w:szCs w:val="24"/>
                <w:lang w:val="en-US" w:eastAsia="zh-CN"/>
              </w:rPr>
              <w:t>8</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22</w:t>
            </w:r>
            <w:r>
              <w:rPr>
                <w:rFonts w:hint="default" w:ascii="Times New Roman" w:hAnsi="Times New Roman" w:eastAsia="方正仿宋_GBK" w:cs="Times New Roman"/>
                <w:color w:val="auto"/>
                <w:sz w:val="24"/>
                <w:szCs w:val="24"/>
                <w:lang w:val="en-US" w:eastAsia="zh-CN"/>
              </w:rPr>
              <w:t>日止。</w:t>
            </w:r>
          </w:p>
        </w:tc>
      </w:tr>
      <w:tr w14:paraId="784C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vMerge w:val="continue"/>
            <w:vAlign w:val="center"/>
          </w:tcPr>
          <w:p w14:paraId="69EBF192">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49248D9F">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3FA60C4A">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eastAsia="zh-CN"/>
              </w:rPr>
              <w:t>标的</w:t>
            </w:r>
            <w:r>
              <w:rPr>
                <w:rFonts w:hint="eastAsia" w:ascii="Times New Roman" w:hAnsi="Times New Roman" w:eastAsia="方正仿宋_GBK" w:cs="Times New Roman"/>
                <w:bCs/>
                <w:color w:val="auto"/>
                <w:sz w:val="24"/>
                <w:szCs w:val="24"/>
                <w:lang w:val="en-US" w:eastAsia="zh-CN"/>
              </w:rPr>
              <w:t>最高</w:t>
            </w:r>
            <w:r>
              <w:rPr>
                <w:rFonts w:hint="default" w:ascii="Times New Roman" w:hAnsi="Times New Roman" w:eastAsia="方正仿宋_GBK" w:cs="Times New Roman"/>
                <w:bCs/>
                <w:color w:val="auto"/>
                <w:sz w:val="24"/>
                <w:szCs w:val="24"/>
                <w:lang w:eastAsia="zh-CN"/>
              </w:rPr>
              <w:t>限价：</w:t>
            </w:r>
            <w:r>
              <w:rPr>
                <w:rFonts w:hint="eastAsia" w:ascii="Times New Roman" w:hAnsi="Times New Roman" w:eastAsia="方正仿宋_GBK" w:cs="Times New Roman"/>
                <w:bCs/>
                <w:color w:val="auto"/>
                <w:sz w:val="24"/>
                <w:szCs w:val="24"/>
                <w:lang w:val="en-US" w:eastAsia="zh-CN"/>
              </w:rPr>
              <w:t>人民币3万元/年，叁年共计9万元（含税）</w:t>
            </w:r>
          </w:p>
        </w:tc>
      </w:tr>
      <w:tr w14:paraId="4213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28" w:type="dxa"/>
            <w:vAlign w:val="center"/>
          </w:tcPr>
          <w:p w14:paraId="55D1F516">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3</w:t>
            </w:r>
          </w:p>
        </w:tc>
        <w:tc>
          <w:tcPr>
            <w:tcW w:w="1769" w:type="dxa"/>
            <w:vAlign w:val="center"/>
          </w:tcPr>
          <w:p w14:paraId="0B634C26">
            <w:pPr>
              <w:autoSpaceDE w:val="0"/>
              <w:autoSpaceDN w:val="0"/>
              <w:adjustRightInd w:val="0"/>
              <w:spacing w:line="400" w:lineRule="exact"/>
              <w:ind w:firstLine="241" w:firstLineChars="100"/>
              <w:rPr>
                <w:rFonts w:hint="default" w:ascii="Times New Roman" w:hAnsi="Times New Roman" w:eastAsia="方正仿宋_GBK" w:cs="Times New Roman"/>
                <w:b/>
                <w:bCs w:val="0"/>
                <w:color w:val="auto"/>
                <w:sz w:val="24"/>
                <w:szCs w:val="24"/>
              </w:rPr>
            </w:pPr>
            <w:r>
              <w:rPr>
                <w:rFonts w:hint="default" w:ascii="Times New Roman" w:hAnsi="Times New Roman" w:eastAsia="方正仿宋_GBK" w:cs="Times New Roman"/>
                <w:b/>
                <w:bCs w:val="0"/>
                <w:color w:val="auto"/>
                <w:sz w:val="24"/>
                <w:szCs w:val="24"/>
              </w:rPr>
              <w:t>投标人要求</w:t>
            </w:r>
          </w:p>
        </w:tc>
        <w:tc>
          <w:tcPr>
            <w:tcW w:w="7254" w:type="dxa"/>
            <w:vAlign w:val="center"/>
          </w:tcPr>
          <w:p w14:paraId="465802CD">
            <w:pPr>
              <w:keepNext w:val="0"/>
              <w:keepLines w:val="0"/>
              <w:pageBreakBefore w:val="0"/>
              <w:widowControl w:val="0"/>
              <w:numPr>
                <w:ilvl w:val="0"/>
                <w:numId w:val="0"/>
              </w:numPr>
              <w:kinsoku/>
              <w:wordWrap/>
              <w:overflowPunct/>
              <w:topLinePunct w:val="0"/>
              <w:autoSpaceDE w:val="0"/>
              <w:autoSpaceDN w:val="0"/>
              <w:bidi w:val="0"/>
              <w:adjustRightInd w:val="0"/>
              <w:spacing w:line="360" w:lineRule="exact"/>
              <w:ind w:leftChars="0"/>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1.</w:t>
            </w:r>
            <w:r>
              <w:rPr>
                <w:rFonts w:hint="default" w:ascii="Times New Roman" w:hAnsi="Times New Roman" w:eastAsia="方正仿宋_GBK" w:cs="Times New Roman"/>
                <w:bCs/>
                <w:color w:val="auto"/>
                <w:sz w:val="24"/>
                <w:szCs w:val="24"/>
              </w:rPr>
              <w:t>具有独立法人资格的</w:t>
            </w:r>
            <w:r>
              <w:rPr>
                <w:rFonts w:hint="eastAsia" w:ascii="Times New Roman" w:hAnsi="Times New Roman" w:eastAsia="方正仿宋_GBK" w:cs="Times New Roman"/>
                <w:bCs/>
                <w:color w:val="auto"/>
                <w:sz w:val="24"/>
                <w:szCs w:val="24"/>
                <w:lang w:eastAsia="zh-CN"/>
              </w:rPr>
              <w:t>公司</w:t>
            </w:r>
            <w:r>
              <w:rPr>
                <w:rFonts w:hint="default" w:ascii="Times New Roman" w:hAnsi="Times New Roman" w:eastAsia="方正仿宋_GBK" w:cs="Times New Roman"/>
                <w:bCs/>
                <w:color w:val="auto"/>
                <w:sz w:val="24"/>
                <w:szCs w:val="24"/>
              </w:rPr>
              <w:t>；</w:t>
            </w:r>
          </w:p>
          <w:p w14:paraId="5FEC3CCF">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2.</w:t>
            </w:r>
            <w:r>
              <w:rPr>
                <w:rFonts w:hint="default" w:ascii="Times New Roman" w:hAnsi="Times New Roman" w:eastAsia="方正仿宋_GBK" w:cs="Times New Roman"/>
                <w:bCs/>
                <w:color w:val="auto"/>
                <w:sz w:val="24"/>
                <w:szCs w:val="24"/>
              </w:rPr>
              <w:t>具备履行合同所需</w:t>
            </w:r>
            <w:r>
              <w:rPr>
                <w:rFonts w:hint="eastAsia" w:ascii="Times New Roman" w:hAnsi="Times New Roman" w:eastAsia="方正仿宋_GBK" w:cs="Times New Roman"/>
                <w:bCs/>
                <w:color w:val="auto"/>
                <w:sz w:val="24"/>
                <w:szCs w:val="24"/>
                <w:lang w:eastAsia="zh-CN"/>
              </w:rPr>
              <w:t>的</w:t>
            </w:r>
            <w:r>
              <w:rPr>
                <w:rFonts w:hint="default" w:ascii="Times New Roman" w:hAnsi="Times New Roman" w:eastAsia="方正仿宋_GBK" w:cs="Times New Roman"/>
                <w:bCs/>
                <w:color w:val="auto"/>
                <w:sz w:val="24"/>
                <w:szCs w:val="24"/>
              </w:rPr>
              <w:t>专业</w:t>
            </w:r>
            <w:r>
              <w:rPr>
                <w:rFonts w:hint="eastAsia" w:ascii="Times New Roman" w:hAnsi="Times New Roman" w:eastAsia="方正仿宋_GBK" w:cs="Times New Roman"/>
                <w:bCs/>
                <w:color w:val="auto"/>
                <w:sz w:val="24"/>
                <w:szCs w:val="24"/>
                <w:lang w:eastAsia="zh-CN"/>
              </w:rPr>
              <w:t>资质和能力</w:t>
            </w:r>
            <w:r>
              <w:rPr>
                <w:rFonts w:hint="default" w:ascii="Times New Roman" w:hAnsi="Times New Roman" w:eastAsia="方正仿宋_GBK" w:cs="Times New Roman"/>
                <w:bCs/>
                <w:color w:val="auto"/>
                <w:sz w:val="24"/>
                <w:szCs w:val="24"/>
              </w:rPr>
              <w:t>；</w:t>
            </w:r>
          </w:p>
          <w:p w14:paraId="30A96A65">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3.</w:t>
            </w:r>
            <w:r>
              <w:rPr>
                <w:rFonts w:hint="default" w:ascii="Times New Roman" w:hAnsi="Times New Roman" w:eastAsia="方正仿宋_GBK" w:cs="Times New Roman"/>
                <w:bCs/>
                <w:color w:val="auto"/>
                <w:sz w:val="24"/>
                <w:szCs w:val="24"/>
              </w:rPr>
              <w:t>提供增值税</w:t>
            </w:r>
            <w:r>
              <w:rPr>
                <w:rFonts w:hint="eastAsia" w:ascii="Times New Roman" w:hAnsi="Times New Roman" w:eastAsia="方正仿宋_GBK" w:cs="Times New Roman"/>
                <w:bCs/>
                <w:color w:val="auto"/>
                <w:sz w:val="24"/>
                <w:szCs w:val="24"/>
                <w:lang w:val="en-US" w:eastAsia="zh-CN"/>
              </w:rPr>
              <w:t>专用</w:t>
            </w:r>
            <w:r>
              <w:rPr>
                <w:rFonts w:hint="default" w:ascii="Times New Roman" w:hAnsi="Times New Roman" w:eastAsia="方正仿宋_GBK" w:cs="Times New Roman"/>
                <w:bCs/>
                <w:color w:val="auto"/>
                <w:sz w:val="24"/>
                <w:szCs w:val="24"/>
              </w:rPr>
              <w:t>发票。</w:t>
            </w:r>
          </w:p>
        </w:tc>
      </w:tr>
      <w:tr w14:paraId="1E0B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28" w:type="dxa"/>
            <w:vMerge w:val="restart"/>
            <w:vAlign w:val="center"/>
          </w:tcPr>
          <w:p w14:paraId="7D7BDC7B">
            <w:pPr>
              <w:snapToGrid w:val="0"/>
              <w:spacing w:line="370" w:lineRule="exact"/>
              <w:jc w:val="center"/>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4</w:t>
            </w:r>
          </w:p>
        </w:tc>
        <w:tc>
          <w:tcPr>
            <w:tcW w:w="1769" w:type="dxa"/>
            <w:vMerge w:val="restart"/>
            <w:vAlign w:val="center"/>
          </w:tcPr>
          <w:p w14:paraId="58739C01">
            <w:pPr>
              <w:snapToGrid w:val="0"/>
              <w:spacing w:line="370" w:lineRule="exact"/>
              <w:jc w:val="center"/>
              <w:rPr>
                <w:rFonts w:hint="default" w:ascii="Times New Roman" w:hAnsi="Times New Roman" w:eastAsia="方正仿宋_GBK" w:cs="Times New Roman"/>
                <w:b/>
                <w:bCs w:val="0"/>
                <w:color w:val="auto"/>
                <w:sz w:val="24"/>
                <w:szCs w:val="24"/>
                <w:lang w:val="en-US" w:eastAsia="zh-CN"/>
              </w:rPr>
            </w:pPr>
            <w:r>
              <w:rPr>
                <w:rFonts w:hint="default" w:ascii="Times New Roman" w:hAnsi="Times New Roman" w:eastAsia="方正仿宋_GBK" w:cs="Times New Roman"/>
                <w:b/>
                <w:bCs w:val="0"/>
                <w:color w:val="auto"/>
                <w:sz w:val="24"/>
                <w:szCs w:val="24"/>
                <w:lang w:val="en-US" w:eastAsia="zh-CN"/>
              </w:rPr>
              <w:t>相关安排</w:t>
            </w:r>
          </w:p>
        </w:tc>
        <w:tc>
          <w:tcPr>
            <w:tcW w:w="7254" w:type="dxa"/>
            <w:vAlign w:val="center"/>
          </w:tcPr>
          <w:p w14:paraId="67A0E24C">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eastAsia" w:ascii="Times New Roman" w:hAnsi="Times New Roman" w:eastAsia="方正仿宋_GBK" w:cs="Times New Roman"/>
                <w:bCs/>
                <w:color w:val="auto"/>
                <w:sz w:val="24"/>
                <w:szCs w:val="24"/>
                <w:lang w:val="en-US" w:eastAsia="zh-CN"/>
              </w:rPr>
              <w:t>比选</w:t>
            </w:r>
            <w:r>
              <w:rPr>
                <w:rFonts w:hint="default" w:ascii="Times New Roman" w:hAnsi="Times New Roman" w:eastAsia="方正仿宋_GBK" w:cs="Times New Roman"/>
                <w:bCs/>
                <w:color w:val="auto"/>
                <w:sz w:val="24"/>
                <w:szCs w:val="24"/>
              </w:rPr>
              <w:t>单位：</w:t>
            </w:r>
            <w:r>
              <w:rPr>
                <w:rFonts w:hint="eastAsia" w:ascii="Times New Roman" w:hAnsi="Times New Roman" w:eastAsia="方正仿宋_GBK" w:cs="Times New Roman"/>
                <w:bCs/>
                <w:color w:val="auto"/>
                <w:sz w:val="24"/>
                <w:szCs w:val="24"/>
                <w:lang w:val="en-US" w:eastAsia="zh-CN"/>
              </w:rPr>
              <w:t>重庆市种畜场</w:t>
            </w:r>
            <w:r>
              <w:rPr>
                <w:rFonts w:hint="default" w:ascii="Times New Roman" w:hAnsi="Times New Roman" w:eastAsia="方正仿宋_GBK" w:cs="Times New Roman"/>
                <w:bCs/>
                <w:color w:val="auto"/>
                <w:sz w:val="24"/>
                <w:szCs w:val="24"/>
              </w:rPr>
              <w:t xml:space="preserve">         </w:t>
            </w:r>
          </w:p>
        </w:tc>
      </w:tr>
      <w:tr w14:paraId="3944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28" w:type="dxa"/>
            <w:vMerge w:val="continue"/>
            <w:vAlign w:val="center"/>
          </w:tcPr>
          <w:p w14:paraId="0DB2AE96">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2CBF3230">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76C6FB8C">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投标人勘察现场：投标人自行勘察（招标人协助）</w:t>
            </w:r>
          </w:p>
          <w:p w14:paraId="3BFC1437">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勘察时间:</w:t>
            </w:r>
            <w:r>
              <w:rPr>
                <w:rFonts w:hint="eastAsia" w:ascii="Times New Roman" w:hAnsi="Times New Roman" w:eastAsia="方正仿宋_GBK" w:cs="Times New Roman"/>
                <w:bCs/>
                <w:color w:val="auto"/>
                <w:sz w:val="24"/>
                <w:szCs w:val="24"/>
                <w:lang w:val="en-US" w:eastAsia="zh-CN"/>
              </w:rPr>
              <w:t>2025年5</w:t>
            </w:r>
            <w:r>
              <w:rPr>
                <w:rFonts w:hint="default" w:ascii="Times New Roman" w:hAnsi="Times New Roman" w:eastAsia="方正仿宋_GBK" w:cs="Times New Roman"/>
                <w:bCs/>
                <w:color w:val="auto"/>
                <w:sz w:val="24"/>
                <w:szCs w:val="24"/>
              </w:rPr>
              <w:t>月</w:t>
            </w:r>
            <w:r>
              <w:rPr>
                <w:rFonts w:hint="eastAsia" w:ascii="Times New Roman" w:hAnsi="Times New Roman" w:eastAsia="方正仿宋_GBK" w:cs="Times New Roman"/>
                <w:bCs/>
                <w:color w:val="auto"/>
                <w:sz w:val="24"/>
                <w:szCs w:val="24"/>
                <w:lang w:val="en-US" w:eastAsia="zh-CN"/>
              </w:rPr>
              <w:t>30</w:t>
            </w:r>
            <w:r>
              <w:rPr>
                <w:rFonts w:hint="default" w:ascii="Times New Roman" w:hAnsi="Times New Roman" w:eastAsia="方正仿宋_GBK" w:cs="Times New Roman"/>
                <w:bCs/>
                <w:color w:val="auto"/>
                <w:sz w:val="24"/>
                <w:szCs w:val="24"/>
              </w:rPr>
              <w:t>日至</w:t>
            </w:r>
            <w:r>
              <w:rPr>
                <w:rFonts w:hint="eastAsia" w:ascii="Times New Roman" w:hAnsi="Times New Roman" w:eastAsia="方正仿宋_GBK" w:cs="Times New Roman"/>
                <w:bCs/>
                <w:color w:val="auto"/>
                <w:sz w:val="24"/>
                <w:szCs w:val="24"/>
                <w:lang w:val="en-US" w:eastAsia="zh-CN"/>
              </w:rPr>
              <w:t>6月6</w:t>
            </w:r>
            <w:r>
              <w:rPr>
                <w:rFonts w:hint="default" w:ascii="Times New Roman" w:hAnsi="Times New Roman" w:eastAsia="方正仿宋_GBK" w:cs="Times New Roman"/>
                <w:bCs/>
                <w:color w:val="auto"/>
                <w:sz w:val="24"/>
                <w:szCs w:val="24"/>
              </w:rPr>
              <w:t>日（09：00至17：00时）</w:t>
            </w:r>
          </w:p>
          <w:p w14:paraId="4D561EA5">
            <w:pPr>
              <w:widowControl/>
              <w:spacing w:line="360" w:lineRule="exact"/>
              <w:jc w:val="left"/>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联系人和联系电话</w:t>
            </w:r>
            <w:r>
              <w:rPr>
                <w:rFonts w:hint="eastAsia" w:ascii="Times New Roman" w:hAnsi="Times New Roman" w:eastAsia="方正仿宋_GBK" w:cs="Times New Roman"/>
                <w:bCs/>
                <w:color w:val="auto"/>
                <w:sz w:val="24"/>
                <w:szCs w:val="24"/>
                <w:lang w:eastAsia="zh-CN"/>
              </w:rPr>
              <w:t>：</w:t>
            </w:r>
            <w:r>
              <w:rPr>
                <w:rFonts w:hint="eastAsia" w:ascii="方正仿宋_GBK" w:hAnsi="方正仿宋_GBK" w:eastAsia="方正仿宋_GBK" w:cs="方正仿宋_GBK"/>
                <w:bCs/>
                <w:color w:val="auto"/>
                <w:sz w:val="24"/>
                <w:szCs w:val="24"/>
                <w:lang w:val="en-US" w:eastAsia="zh-CN"/>
              </w:rPr>
              <w:t>李老师，</w:t>
            </w:r>
            <w:r>
              <w:rPr>
                <w:rFonts w:hint="default" w:ascii="Times New Roman" w:hAnsi="Times New Roman" w:eastAsia="方正仿宋_GBK" w:cs="Times New Roman"/>
                <w:bCs/>
                <w:color w:val="auto"/>
                <w:sz w:val="24"/>
                <w:szCs w:val="24"/>
                <w:lang w:val="en-US" w:eastAsia="zh-CN"/>
              </w:rPr>
              <w:t>023-</w:t>
            </w:r>
            <w:r>
              <w:rPr>
                <w:rFonts w:hint="eastAsia" w:ascii="Times New Roman" w:hAnsi="Times New Roman" w:eastAsia="方正仿宋_GBK" w:cs="Times New Roman"/>
                <w:bCs/>
                <w:color w:val="auto"/>
                <w:sz w:val="24"/>
                <w:szCs w:val="24"/>
                <w:lang w:val="en-US" w:eastAsia="zh-CN"/>
              </w:rPr>
              <w:t>62595328，15025344677</w:t>
            </w:r>
          </w:p>
        </w:tc>
      </w:tr>
      <w:tr w14:paraId="2F18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8" w:type="dxa"/>
            <w:vAlign w:val="center"/>
          </w:tcPr>
          <w:p w14:paraId="42E9AD8D">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5</w:t>
            </w:r>
          </w:p>
        </w:tc>
        <w:tc>
          <w:tcPr>
            <w:tcW w:w="1769" w:type="dxa"/>
            <w:vAlign w:val="center"/>
          </w:tcPr>
          <w:p w14:paraId="12D21CBC">
            <w:pPr>
              <w:snapToGrid w:val="0"/>
              <w:spacing w:line="370" w:lineRule="exact"/>
              <w:jc w:val="center"/>
              <w:rPr>
                <w:rFonts w:hint="default" w:ascii="Times New Roman" w:hAnsi="Times New Roman" w:eastAsia="方正仿宋_GBK" w:cs="Times New Roman"/>
                <w:b/>
                <w:bCs w:val="0"/>
                <w:color w:val="auto"/>
                <w:sz w:val="24"/>
                <w:szCs w:val="24"/>
              </w:rPr>
            </w:pPr>
            <w:r>
              <w:rPr>
                <w:rFonts w:hint="eastAsia" w:ascii="Times New Roman" w:hAnsi="Times New Roman" w:eastAsia="方正仿宋_GBK" w:cs="Times New Roman"/>
                <w:b/>
                <w:bCs w:val="0"/>
                <w:color w:val="auto"/>
                <w:sz w:val="24"/>
                <w:szCs w:val="24"/>
                <w:lang w:val="en-US" w:eastAsia="zh-CN"/>
              </w:rPr>
              <w:t>投标</w:t>
            </w:r>
            <w:r>
              <w:rPr>
                <w:rFonts w:hint="default" w:ascii="Times New Roman" w:hAnsi="Times New Roman" w:eastAsia="方正仿宋_GBK" w:cs="Times New Roman"/>
                <w:b/>
                <w:bCs w:val="0"/>
                <w:color w:val="auto"/>
                <w:sz w:val="24"/>
                <w:szCs w:val="24"/>
              </w:rPr>
              <w:t>文件份数</w:t>
            </w:r>
          </w:p>
        </w:tc>
        <w:tc>
          <w:tcPr>
            <w:tcW w:w="7254" w:type="dxa"/>
            <w:vAlign w:val="center"/>
          </w:tcPr>
          <w:p w14:paraId="5F83F32E">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正本壹份。</w:t>
            </w:r>
          </w:p>
        </w:tc>
      </w:tr>
      <w:tr w14:paraId="1C43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28" w:type="dxa"/>
            <w:vMerge w:val="restart"/>
            <w:vAlign w:val="center"/>
          </w:tcPr>
          <w:p w14:paraId="30E13C99">
            <w:pPr>
              <w:snapToGrid w:val="0"/>
              <w:spacing w:line="370" w:lineRule="exact"/>
              <w:jc w:val="center"/>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6</w:t>
            </w:r>
          </w:p>
        </w:tc>
        <w:tc>
          <w:tcPr>
            <w:tcW w:w="1769" w:type="dxa"/>
            <w:vMerge w:val="restart"/>
            <w:vAlign w:val="center"/>
          </w:tcPr>
          <w:p w14:paraId="22058D59">
            <w:pPr>
              <w:snapToGrid w:val="0"/>
              <w:spacing w:line="370" w:lineRule="exact"/>
              <w:jc w:val="center"/>
              <w:rPr>
                <w:rFonts w:hint="default" w:ascii="Times New Roman" w:hAnsi="Times New Roman" w:eastAsia="方正仿宋_GBK" w:cs="Times New Roman"/>
                <w:b/>
                <w:bCs w:val="0"/>
                <w:color w:val="auto"/>
                <w:sz w:val="24"/>
                <w:szCs w:val="24"/>
                <w:lang w:eastAsia="zh-CN"/>
              </w:rPr>
            </w:pPr>
            <w:r>
              <w:rPr>
                <w:rFonts w:hint="eastAsia" w:ascii="Times New Roman" w:hAnsi="Times New Roman" w:eastAsia="方正仿宋_GBK" w:cs="Times New Roman"/>
                <w:b/>
                <w:bCs w:val="0"/>
                <w:color w:val="auto"/>
                <w:sz w:val="24"/>
                <w:szCs w:val="24"/>
                <w:lang w:val="en-US" w:eastAsia="zh-CN"/>
              </w:rPr>
              <w:t>投标</w:t>
            </w:r>
            <w:r>
              <w:rPr>
                <w:rFonts w:hint="default" w:ascii="Times New Roman" w:hAnsi="Times New Roman" w:eastAsia="方正仿宋_GBK" w:cs="Times New Roman"/>
                <w:b/>
                <w:bCs w:val="0"/>
                <w:color w:val="auto"/>
                <w:sz w:val="24"/>
                <w:szCs w:val="24"/>
                <w:lang w:eastAsia="zh-CN"/>
              </w:rPr>
              <w:t>文件递交</w:t>
            </w:r>
          </w:p>
        </w:tc>
        <w:tc>
          <w:tcPr>
            <w:tcW w:w="7254" w:type="dxa"/>
            <w:vAlign w:val="center"/>
          </w:tcPr>
          <w:p w14:paraId="6A53989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lang w:eastAsia="zh-CN"/>
              </w:rPr>
              <w:t>投</w:t>
            </w:r>
            <w:r>
              <w:rPr>
                <w:rFonts w:hint="default" w:ascii="Times New Roman" w:hAnsi="Times New Roman" w:eastAsia="方正仿宋_GBK" w:cs="Times New Roman"/>
                <w:bCs/>
                <w:color w:val="auto"/>
                <w:sz w:val="24"/>
                <w:szCs w:val="24"/>
              </w:rPr>
              <w:t xml:space="preserve">标地址: </w:t>
            </w:r>
            <w:r>
              <w:rPr>
                <w:rFonts w:hint="eastAsia" w:ascii="Times New Roman" w:hAnsi="Times New Roman" w:eastAsia="方正仿宋_GBK" w:cs="Times New Roman"/>
                <w:bCs/>
                <w:color w:val="auto"/>
                <w:sz w:val="24"/>
                <w:szCs w:val="24"/>
                <w:lang w:val="en-US" w:eastAsia="zh-CN"/>
              </w:rPr>
              <w:t>巴南区李家沱西流沱四村巨星花园A区182栋负一楼后勤部综合室</w:t>
            </w:r>
            <w:r>
              <w:rPr>
                <w:rFonts w:hint="default" w:ascii="Times New Roman" w:hAnsi="Times New Roman" w:eastAsia="方正仿宋_GBK" w:cs="Times New Roman"/>
                <w:bCs/>
                <w:color w:val="auto"/>
                <w:sz w:val="24"/>
                <w:szCs w:val="24"/>
              </w:rPr>
              <w:t xml:space="preserve">                  </w:t>
            </w:r>
          </w:p>
        </w:tc>
      </w:tr>
      <w:tr w14:paraId="124B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8" w:type="dxa"/>
            <w:vMerge w:val="continue"/>
          </w:tcPr>
          <w:p w14:paraId="139B2C0C">
            <w:pPr>
              <w:snapToGrid w:val="0"/>
              <w:spacing w:line="370" w:lineRule="exact"/>
              <w:jc w:val="left"/>
              <w:rPr>
                <w:rFonts w:asciiTheme="minorEastAsia" w:hAnsiTheme="minorEastAsia" w:eastAsiaTheme="minorEastAsia" w:cstheme="minorEastAsia"/>
                <w:bCs/>
                <w:color w:val="auto"/>
                <w:sz w:val="24"/>
                <w:szCs w:val="24"/>
              </w:rPr>
            </w:pPr>
          </w:p>
        </w:tc>
        <w:tc>
          <w:tcPr>
            <w:tcW w:w="1769" w:type="dxa"/>
            <w:vMerge w:val="continue"/>
          </w:tcPr>
          <w:p w14:paraId="0E6616A1">
            <w:pPr>
              <w:snapToGrid w:val="0"/>
              <w:spacing w:line="370" w:lineRule="exact"/>
              <w:jc w:val="left"/>
              <w:rPr>
                <w:rFonts w:hint="default" w:ascii="Times New Roman" w:hAnsi="Times New Roman" w:eastAsia="方正仿宋_GBK" w:cs="Times New Roman"/>
                <w:bCs/>
                <w:color w:val="auto"/>
                <w:sz w:val="24"/>
                <w:szCs w:val="24"/>
              </w:rPr>
            </w:pPr>
          </w:p>
        </w:tc>
        <w:tc>
          <w:tcPr>
            <w:tcW w:w="7254" w:type="dxa"/>
            <w:vAlign w:val="center"/>
          </w:tcPr>
          <w:p w14:paraId="381EEE79">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比选</w:t>
            </w:r>
            <w:r>
              <w:rPr>
                <w:rFonts w:hint="default" w:ascii="Times New Roman" w:hAnsi="Times New Roman" w:eastAsia="方正仿宋_GBK" w:cs="Times New Roman"/>
                <w:bCs/>
                <w:color w:val="auto"/>
                <w:sz w:val="24"/>
                <w:szCs w:val="24"/>
              </w:rPr>
              <w:t>时间：</w:t>
            </w:r>
            <w:r>
              <w:rPr>
                <w:rFonts w:hint="eastAsia" w:ascii="Times New Roman" w:hAnsi="Times New Roman" w:eastAsia="方正仿宋_GBK" w:cs="Times New Roman"/>
                <w:bCs/>
                <w:color w:val="auto"/>
                <w:sz w:val="24"/>
                <w:szCs w:val="24"/>
                <w:lang w:val="en-US" w:eastAsia="zh-CN"/>
              </w:rPr>
              <w:t>2025</w:t>
            </w:r>
            <w:r>
              <w:rPr>
                <w:rFonts w:hint="default" w:ascii="Times New Roman" w:hAnsi="Times New Roman" w:eastAsia="方正仿宋_GBK" w:cs="Times New Roman"/>
                <w:bCs/>
                <w:color w:val="auto"/>
                <w:sz w:val="24"/>
                <w:szCs w:val="24"/>
              </w:rPr>
              <w:t>年</w:t>
            </w:r>
            <w:r>
              <w:rPr>
                <w:rFonts w:hint="eastAsia" w:ascii="Times New Roman" w:hAnsi="Times New Roman" w:eastAsia="方正仿宋_GBK" w:cs="Times New Roman"/>
                <w:bCs/>
                <w:color w:val="auto"/>
                <w:sz w:val="24"/>
                <w:szCs w:val="24"/>
                <w:lang w:val="en-US" w:eastAsia="zh-CN"/>
              </w:rPr>
              <w:t>6</w:t>
            </w:r>
            <w:r>
              <w:rPr>
                <w:rFonts w:hint="default" w:ascii="Times New Roman" w:hAnsi="Times New Roman" w:eastAsia="方正仿宋_GBK" w:cs="Times New Roman"/>
                <w:bCs/>
                <w:color w:val="auto"/>
                <w:sz w:val="24"/>
                <w:szCs w:val="24"/>
              </w:rPr>
              <w:t>月</w:t>
            </w:r>
            <w:r>
              <w:rPr>
                <w:rFonts w:hint="eastAsia" w:ascii="Times New Roman" w:hAnsi="Times New Roman" w:eastAsia="方正仿宋_GBK" w:cs="Times New Roman"/>
                <w:bCs/>
                <w:color w:val="auto"/>
                <w:sz w:val="24"/>
                <w:szCs w:val="24"/>
                <w:lang w:val="en-US" w:eastAsia="zh-CN"/>
              </w:rPr>
              <w:t>10</w:t>
            </w:r>
            <w:r>
              <w:rPr>
                <w:rFonts w:hint="default" w:ascii="Times New Roman" w:hAnsi="Times New Roman" w:eastAsia="方正仿宋_GBK" w:cs="Times New Roman"/>
                <w:bCs/>
                <w:color w:val="auto"/>
                <w:sz w:val="24"/>
                <w:szCs w:val="24"/>
              </w:rPr>
              <w:t>日</w:t>
            </w:r>
            <w:r>
              <w:rPr>
                <w:rFonts w:hint="eastAsia" w:ascii="Times New Roman" w:hAnsi="Times New Roman" w:eastAsia="方正仿宋_GBK" w:cs="Times New Roman"/>
                <w:bCs/>
                <w:color w:val="auto"/>
                <w:sz w:val="24"/>
                <w:szCs w:val="24"/>
                <w:lang w:val="en-US" w:eastAsia="zh-CN"/>
              </w:rPr>
              <w:t>15:00</w:t>
            </w:r>
            <w:r>
              <w:rPr>
                <w:rFonts w:hint="eastAsia" w:ascii="Times New Roman" w:hAnsi="Times New Roman" w:eastAsia="方正仿宋_GBK" w:cs="Times New Roman"/>
                <w:bCs/>
                <w:color w:val="auto"/>
                <w:sz w:val="24"/>
                <w:szCs w:val="24"/>
                <w:lang w:eastAsia="zh-CN"/>
              </w:rPr>
              <w:t>（</w:t>
            </w:r>
            <w:r>
              <w:rPr>
                <w:rFonts w:hint="eastAsia" w:ascii="Times New Roman" w:hAnsi="Times New Roman" w:eastAsia="方正仿宋_GBK" w:cs="Times New Roman"/>
                <w:bCs/>
                <w:color w:val="auto"/>
                <w:sz w:val="24"/>
                <w:szCs w:val="24"/>
                <w:lang w:val="en-US" w:eastAsia="zh-CN"/>
              </w:rPr>
              <w:t>暂定，以招标方通知为准</w:t>
            </w:r>
            <w:r>
              <w:rPr>
                <w:rFonts w:hint="eastAsia" w:ascii="Times New Roman" w:hAnsi="Times New Roman" w:eastAsia="方正仿宋_GBK" w:cs="Times New Roman"/>
                <w:bCs/>
                <w:color w:val="auto"/>
                <w:sz w:val="24"/>
                <w:szCs w:val="24"/>
                <w:lang w:eastAsia="zh-CN"/>
              </w:rPr>
              <w:t>）</w:t>
            </w:r>
            <w:r>
              <w:rPr>
                <w:rFonts w:hint="default" w:ascii="Times New Roman" w:hAnsi="Times New Roman" w:eastAsia="方正仿宋_GBK" w:cs="Times New Roman"/>
                <w:bCs/>
                <w:color w:val="auto"/>
                <w:sz w:val="24"/>
                <w:szCs w:val="24"/>
              </w:rPr>
              <w:t xml:space="preserve"> </w:t>
            </w:r>
          </w:p>
        </w:tc>
      </w:tr>
    </w:tbl>
    <w:p w14:paraId="54842D38">
      <w:pPr>
        <w:spacing w:line="1200" w:lineRule="exact"/>
        <w:rPr>
          <w:rStyle w:val="19"/>
          <w:rFonts w:asciiTheme="minorEastAsia" w:hAnsiTheme="minorEastAsia" w:eastAsiaTheme="minorEastAsia" w:cstheme="minorEastAsia"/>
          <w:color w:val="auto"/>
          <w:sz w:val="24"/>
          <w:szCs w:val="24"/>
        </w:rPr>
        <w:sectPr>
          <w:footerReference r:id="rId7" w:type="first"/>
          <w:headerReference r:id="rId3" w:type="default"/>
          <w:footerReference r:id="rId5" w:type="default"/>
          <w:headerReference r:id="rId4" w:type="even"/>
          <w:footerReference r:id="rId6" w:type="even"/>
          <w:pgSz w:w="11906" w:h="16838"/>
          <w:pgMar w:top="1984" w:right="1446" w:bottom="1644" w:left="1446"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1E6DBD2E">
      <w:pPr>
        <w:spacing w:line="360" w:lineRule="auto"/>
        <w:jc w:val="center"/>
        <w:rPr>
          <w:rFonts w:hint="default"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rPr>
        <w:t xml:space="preserve">第一部分  </w:t>
      </w:r>
      <w:r>
        <w:rPr>
          <w:rFonts w:hint="eastAsia" w:ascii="方正黑体_GBK" w:hAnsi="方正黑体_GBK" w:eastAsia="方正黑体_GBK" w:cs="方正黑体_GBK"/>
          <w:b/>
          <w:color w:val="auto"/>
          <w:sz w:val="32"/>
          <w:szCs w:val="32"/>
          <w:lang w:val="en-US" w:eastAsia="zh-CN"/>
        </w:rPr>
        <w:t>比选公告</w:t>
      </w:r>
    </w:p>
    <w:p w14:paraId="7D84B6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rPr>
      </w:pPr>
      <w:bookmarkStart w:id="0" w:name="_Toc525031548"/>
      <w:bookmarkStart w:id="1" w:name="_Toc334775607"/>
      <w:bookmarkStart w:id="2" w:name="_Toc331172584"/>
      <w:bookmarkStart w:id="3" w:name="_Toc326608304"/>
      <w:bookmarkStart w:id="4" w:name="_Toc331164485"/>
      <w:bookmarkStart w:id="5" w:name="_Toc326608443"/>
      <w:bookmarkStart w:id="6" w:name="_Toc334427988"/>
      <w:bookmarkStart w:id="7" w:name="_Toc326595972"/>
      <w:bookmarkStart w:id="8" w:name="_Toc331165053"/>
      <w:bookmarkStart w:id="9" w:name="_Toc331164895"/>
      <w:bookmarkStart w:id="10" w:name="_Toc286938406"/>
      <w:bookmarkStart w:id="11" w:name="_Toc325115885"/>
      <w:bookmarkStart w:id="12" w:name="_Toc331172955"/>
      <w:bookmarkStart w:id="13" w:name="_Toc326608168"/>
      <w:bookmarkStart w:id="14" w:name="_Toc425865933"/>
      <w:bookmarkStart w:id="15" w:name="_Toc331172854"/>
      <w:bookmarkStart w:id="16" w:name="_Toc326609080"/>
      <w:bookmarkStart w:id="17" w:name="_Toc331165570"/>
      <w:bookmarkStart w:id="18" w:name="_Toc331165212"/>
      <w:bookmarkStart w:id="19" w:name="_Toc326604677"/>
      <w:bookmarkStart w:id="20" w:name="_Toc331416337"/>
      <w:bookmarkStart w:id="21" w:name="_Toc286938793"/>
      <w:bookmarkStart w:id="22" w:name="_Toc331409472"/>
      <w:bookmarkStart w:id="23" w:name="_Toc324777166"/>
      <w:r>
        <w:rPr>
          <w:rFonts w:hint="eastAsia" w:ascii="方正仿宋_GBK" w:hAnsi="方正仿宋_GBK" w:eastAsia="方正仿宋_GBK" w:cs="方正仿宋_GBK"/>
          <w:color w:val="auto"/>
          <w:sz w:val="24"/>
          <w:szCs w:val="24"/>
        </w:rPr>
        <w:t>各</w:t>
      </w:r>
      <w:r>
        <w:rPr>
          <w:rFonts w:hint="default" w:ascii="Times New Roman" w:hAnsi="Times New Roman" w:eastAsia="方正仿宋_GBK" w:cs="Times New Roman"/>
          <w:color w:val="auto"/>
          <w:kern w:val="0"/>
          <w:sz w:val="24"/>
          <w:szCs w:val="24"/>
          <w:highlight w:val="none"/>
          <w:lang w:val="en-US" w:eastAsia="zh-CN"/>
        </w:rPr>
        <w:t>单位</w:t>
      </w:r>
      <w:r>
        <w:rPr>
          <w:rFonts w:hint="eastAsia" w:ascii="方正仿宋_GBK" w:hAnsi="方正仿宋_GBK" w:eastAsia="方正仿宋_GBK" w:cs="方正仿宋_GBK"/>
          <w:color w:val="auto"/>
          <w:sz w:val="24"/>
          <w:szCs w:val="24"/>
        </w:rPr>
        <w:t>：</w:t>
      </w:r>
    </w:p>
    <w:p w14:paraId="107C889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stheme="minorEastAsia"/>
          <w:bCs/>
          <w:color w:val="auto"/>
          <w:sz w:val="24"/>
          <w:szCs w:val="24"/>
        </w:rPr>
      </w:pPr>
      <w:r>
        <w:rPr>
          <w:rFonts w:hint="eastAsia" w:eastAsia="方正仿宋_GBK" w:cs="Times New Roman"/>
          <w:color w:val="auto"/>
          <w:kern w:val="0"/>
          <w:sz w:val="24"/>
          <w:szCs w:val="24"/>
          <w:highlight w:val="none"/>
          <w:lang w:val="en-US" w:eastAsia="zh-CN"/>
        </w:rPr>
        <w:t>巨星</w:t>
      </w:r>
      <w:r>
        <w:rPr>
          <w:rFonts w:hint="default" w:ascii="Times New Roman" w:hAnsi="Times New Roman" w:eastAsia="方正仿宋_GBK" w:cs="Times New Roman"/>
          <w:color w:val="auto"/>
          <w:kern w:val="0"/>
          <w:sz w:val="24"/>
          <w:szCs w:val="24"/>
          <w:highlight w:val="none"/>
          <w:lang w:val="en-US" w:eastAsia="zh-CN"/>
        </w:rPr>
        <w:t>花园A区1-7单元</w:t>
      </w:r>
      <w:r>
        <w:rPr>
          <w:rFonts w:hint="eastAsia" w:ascii="Times New Roman" w:hAnsi="Times New Roman" w:eastAsia="方正仿宋_GBK" w:cs="Times New Roman"/>
          <w:color w:val="auto"/>
          <w:kern w:val="0"/>
          <w:sz w:val="24"/>
          <w:szCs w:val="24"/>
          <w:highlight w:val="none"/>
          <w:lang w:val="en-US" w:eastAsia="zh-CN"/>
        </w:rPr>
        <w:t>电梯维护保养</w:t>
      </w:r>
      <w:r>
        <w:rPr>
          <w:rFonts w:hint="default" w:ascii="Times New Roman" w:hAnsi="Times New Roman" w:eastAsia="方正仿宋_GBK" w:cs="Times New Roman"/>
          <w:color w:val="auto"/>
          <w:kern w:val="0"/>
          <w:sz w:val="24"/>
          <w:szCs w:val="24"/>
          <w:highlight w:val="none"/>
          <w:lang w:val="en-US" w:eastAsia="zh-CN"/>
        </w:rPr>
        <w:t>服务外包采购项目现进行公开比选，诚挚公开邀请有意愿的参选单位参与</w:t>
      </w:r>
      <w:r>
        <w:rPr>
          <w:rFonts w:hint="eastAsia" w:ascii="方正仿宋_GBK" w:hAnsi="方正仿宋_GBK" w:eastAsia="方正仿宋_GBK" w:cs="方正仿宋_GBK"/>
          <w:bCs/>
          <w:color w:val="auto"/>
          <w:sz w:val="24"/>
          <w:szCs w:val="24"/>
        </w:rPr>
        <w:t>。</w:t>
      </w:r>
    </w:p>
    <w:p w14:paraId="3DFCFA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方正楷体_GBK" w:hAnsi="方正楷体_GBK" w:eastAsia="方正楷体_GBK" w:cs="方正楷体_GBK"/>
          <w:b/>
          <w:bCs/>
          <w:color w:val="auto"/>
          <w:sz w:val="24"/>
          <w:szCs w:val="24"/>
          <w:lang w:eastAsia="zh-CN"/>
        </w:rPr>
      </w:pPr>
      <w:r>
        <w:rPr>
          <w:rFonts w:hint="eastAsia" w:ascii="方正黑体_GBK" w:hAnsi="方正黑体_GBK" w:eastAsia="方正黑体_GBK" w:cs="方正黑体_GBK"/>
          <w:b w:val="0"/>
          <w:bCs/>
          <w:color w:val="auto"/>
          <w:kern w:val="2"/>
          <w:sz w:val="24"/>
          <w:szCs w:val="24"/>
          <w:lang w:val="en-US" w:eastAsia="zh-CN" w:bidi="ar-SA"/>
        </w:rPr>
        <w:t>一、</w:t>
      </w:r>
      <w:r>
        <w:rPr>
          <w:rFonts w:hint="eastAsia" w:ascii="方正黑体_GBK" w:hAnsi="方正黑体_GBK" w:eastAsia="方正黑体_GBK" w:cs="方正黑体_GBK"/>
          <w:b w:val="0"/>
          <w:bCs/>
          <w:color w:val="auto"/>
          <w:sz w:val="24"/>
          <w:szCs w:val="24"/>
        </w:rPr>
        <w:t>招标项目内容</w:t>
      </w:r>
    </w:p>
    <w:p w14:paraId="3B70C8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lang w:eastAsia="zh-CN"/>
        </w:rPr>
        <w:t>项目名称</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巨星花园A</w:t>
      </w:r>
      <w:r>
        <w:rPr>
          <w:rFonts w:hint="default" w:ascii="Times New Roman" w:hAnsi="Times New Roman" w:eastAsia="方正仿宋_GBK" w:cs="Times New Roman"/>
          <w:color w:val="auto"/>
          <w:sz w:val="24"/>
          <w:szCs w:val="24"/>
          <w:lang w:eastAsia="zh-CN"/>
        </w:rPr>
        <w:t>区</w:t>
      </w:r>
      <w:r>
        <w:rPr>
          <w:rFonts w:hint="default" w:ascii="Times New Roman" w:hAnsi="Times New Roman" w:eastAsia="方正仿宋_GBK" w:cs="Times New Roman"/>
          <w:color w:val="auto"/>
          <w:sz w:val="24"/>
          <w:szCs w:val="24"/>
        </w:rPr>
        <w:t>1</w:t>
      </w:r>
      <w:r>
        <w:rPr>
          <w:rFonts w:hint="default"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7单元电梯维护保养</w:t>
      </w:r>
      <w:r>
        <w:rPr>
          <w:rFonts w:hint="default" w:ascii="Times New Roman" w:hAnsi="Times New Roman" w:eastAsia="方正仿宋_GBK" w:cs="Times New Roman"/>
          <w:color w:val="auto"/>
          <w:sz w:val="24"/>
          <w:szCs w:val="24"/>
          <w:lang w:eastAsia="zh-CN"/>
        </w:rPr>
        <w:t>服务外包采购项目</w:t>
      </w:r>
      <w:r>
        <w:rPr>
          <w:rFonts w:hint="eastAsia" w:ascii="Times New Roman" w:hAnsi="Times New Roman" w:eastAsia="方正仿宋_GBK" w:cs="Times New Roman"/>
          <w:color w:val="auto"/>
          <w:sz w:val="24"/>
          <w:szCs w:val="24"/>
          <w:lang w:eastAsia="zh-CN"/>
        </w:rPr>
        <w:t>。</w:t>
      </w:r>
    </w:p>
    <w:p w14:paraId="3EF632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eastAsia="zh-CN"/>
        </w:rPr>
        <w:t>项目地点</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eastAsia="zh-CN"/>
        </w:rPr>
        <w:t>巴南区李家沱西流沱四村巨星花园</w:t>
      </w:r>
      <w:r>
        <w:rPr>
          <w:rFonts w:hint="default" w:ascii="Times New Roman" w:hAnsi="Times New Roman" w:eastAsia="方正仿宋_GBK" w:cs="Times New Roman"/>
          <w:color w:val="auto"/>
          <w:sz w:val="24"/>
          <w:szCs w:val="24"/>
          <w:lang w:val="en-US" w:eastAsia="zh-CN"/>
        </w:rPr>
        <w:t>A区</w:t>
      </w:r>
      <w:r>
        <w:rPr>
          <w:rFonts w:hint="eastAsia" w:ascii="Times New Roman" w:hAnsi="Times New Roman" w:eastAsia="方正仿宋_GBK" w:cs="Times New Roman"/>
          <w:color w:val="auto"/>
          <w:sz w:val="24"/>
          <w:szCs w:val="24"/>
          <w:lang w:val="en-US" w:eastAsia="zh-CN"/>
        </w:rPr>
        <w:t>。</w:t>
      </w:r>
    </w:p>
    <w:p w14:paraId="1FD75AC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服务期限</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合作期限为叁年。从2025年6月23日起—202</w:t>
      </w:r>
      <w:r>
        <w:rPr>
          <w:rFonts w:hint="eastAsia" w:ascii="Times New Roman" w:hAnsi="Times New Roman" w:eastAsia="方正仿宋_GBK" w:cs="Times New Roman"/>
          <w:color w:val="auto"/>
          <w:sz w:val="24"/>
          <w:szCs w:val="24"/>
          <w:lang w:val="en-US" w:eastAsia="zh-CN"/>
        </w:rPr>
        <w:t>8</w:t>
      </w:r>
      <w:r>
        <w:rPr>
          <w:rFonts w:hint="default" w:ascii="Times New Roman" w:hAnsi="Times New Roman" w:eastAsia="方正仿宋_GBK" w:cs="Times New Roman"/>
          <w:color w:val="auto"/>
          <w:sz w:val="24"/>
          <w:szCs w:val="24"/>
          <w:lang w:val="en-US" w:eastAsia="zh-CN"/>
        </w:rPr>
        <w:t>年6月22日止。</w:t>
      </w:r>
    </w:p>
    <w:p w14:paraId="1108CA6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4.项目</w:t>
      </w:r>
      <w:r>
        <w:rPr>
          <w:rFonts w:hint="default" w:ascii="Times New Roman" w:hAnsi="Times New Roman" w:eastAsia="方正仿宋_GBK" w:cs="Times New Roman"/>
          <w:color w:val="auto"/>
          <w:sz w:val="24"/>
          <w:szCs w:val="24"/>
          <w:lang w:eastAsia="zh-CN"/>
        </w:rPr>
        <w:t>概况</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巨星花园</w:t>
      </w:r>
      <w:r>
        <w:rPr>
          <w:rFonts w:hint="eastAsia" w:ascii="Times New Roman" w:hAnsi="Times New Roman" w:eastAsia="方正仿宋_GBK" w:cs="Times New Roman"/>
          <w:color w:val="auto"/>
          <w:sz w:val="24"/>
          <w:szCs w:val="24"/>
          <w:lang w:val="en-US" w:eastAsia="zh-CN"/>
        </w:rPr>
        <w:t>A区1-7单</w:t>
      </w:r>
      <w:r>
        <w:rPr>
          <w:rFonts w:hint="default" w:ascii="Times New Roman" w:hAnsi="Times New Roman" w:eastAsia="方正仿宋_GBK" w:cs="Times New Roman"/>
          <w:color w:val="auto"/>
          <w:sz w:val="24"/>
          <w:szCs w:val="24"/>
        </w:rPr>
        <w:t>元共配备</w:t>
      </w:r>
      <w:r>
        <w:rPr>
          <w:rFonts w:hint="eastAsia" w:ascii="Times New Roman" w:hAnsi="Times New Roman" w:eastAsia="方正仿宋_GBK" w:cs="Times New Roman"/>
          <w:color w:val="auto"/>
          <w:sz w:val="24"/>
          <w:szCs w:val="24"/>
          <w:lang w:val="en-US" w:eastAsia="zh-CN"/>
        </w:rPr>
        <w:t>7</w:t>
      </w:r>
      <w:r>
        <w:rPr>
          <w:rFonts w:hint="default" w:ascii="Times New Roman" w:hAnsi="Times New Roman" w:eastAsia="方正仿宋_GBK" w:cs="Times New Roman"/>
          <w:color w:val="auto"/>
          <w:sz w:val="24"/>
          <w:szCs w:val="24"/>
        </w:rPr>
        <w:t>台电梯，</w:t>
      </w:r>
      <w:r>
        <w:rPr>
          <w:rFonts w:hint="eastAsia" w:ascii="Times New Roman" w:hAnsi="Times New Roman" w:eastAsia="方正仿宋_GBK" w:cs="Times New Roman"/>
          <w:color w:val="auto"/>
          <w:sz w:val="24"/>
          <w:szCs w:val="24"/>
          <w:lang w:eastAsia="zh-CN"/>
        </w:rPr>
        <w:t>电梯型号：</w:t>
      </w:r>
      <w:r>
        <w:rPr>
          <w:rFonts w:hint="eastAsia" w:ascii="Times New Roman" w:hAnsi="Times New Roman" w:eastAsia="方正仿宋_GBK" w:cs="Times New Roman"/>
          <w:color w:val="auto"/>
          <w:sz w:val="24"/>
          <w:szCs w:val="24"/>
          <w:lang w:val="en-US" w:eastAsia="zh-CN"/>
        </w:rPr>
        <w:t>AEP（N）-V，</w:t>
      </w:r>
      <w:r>
        <w:rPr>
          <w:rFonts w:hint="default" w:ascii="Times New Roman" w:hAnsi="Times New Roman" w:eastAsia="方正仿宋_GBK" w:cs="Times New Roman"/>
          <w:color w:val="auto"/>
          <w:sz w:val="24"/>
          <w:szCs w:val="24"/>
        </w:rPr>
        <w:t>电梯</w:t>
      </w:r>
      <w:r>
        <w:rPr>
          <w:rFonts w:hint="eastAsia" w:ascii="Times New Roman" w:hAnsi="Times New Roman" w:eastAsia="方正仿宋_GBK" w:cs="Times New Roman"/>
          <w:color w:val="auto"/>
          <w:sz w:val="24"/>
          <w:szCs w:val="24"/>
          <w:lang w:eastAsia="zh-CN"/>
        </w:rPr>
        <w:t>数量：</w:t>
      </w:r>
      <w:r>
        <w:rPr>
          <w:rFonts w:hint="eastAsia" w:ascii="Times New Roman" w:hAnsi="Times New Roman" w:eastAsia="方正仿宋_GBK" w:cs="Times New Roman"/>
          <w:color w:val="auto"/>
          <w:sz w:val="24"/>
          <w:szCs w:val="24"/>
          <w:lang w:val="en-US" w:eastAsia="zh-CN"/>
        </w:rPr>
        <w:t>7</w:t>
      </w:r>
      <w:r>
        <w:rPr>
          <w:rFonts w:hint="default" w:ascii="Times New Roman" w:hAnsi="Times New Roman" w:eastAsia="方正仿宋_GBK" w:cs="Times New Roman"/>
          <w:color w:val="auto"/>
          <w:sz w:val="24"/>
          <w:szCs w:val="24"/>
        </w:rPr>
        <w:t>台</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各电梯已投入使用</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年</w:t>
      </w:r>
      <w:r>
        <w:rPr>
          <w:rFonts w:hint="eastAsia" w:ascii="Times New Roman" w:hAnsi="Times New Roman" w:eastAsia="方正仿宋_GBK" w:cs="Times New Roman"/>
          <w:color w:val="auto"/>
          <w:sz w:val="24"/>
          <w:szCs w:val="24"/>
          <w:lang w:eastAsia="zh-CN"/>
        </w:rPr>
        <w:t>。</w:t>
      </w:r>
    </w:p>
    <w:p w14:paraId="2D689F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5.合作方式：</w:t>
      </w:r>
      <w:r>
        <w:rPr>
          <w:rFonts w:hint="eastAsia" w:ascii="Times New Roman" w:hAnsi="Times New Roman" w:eastAsia="方正仿宋_GBK" w:cs="Times New Roman"/>
          <w:b w:val="0"/>
          <w:bCs w:val="0"/>
          <w:color w:val="auto"/>
          <w:sz w:val="24"/>
          <w:szCs w:val="24"/>
          <w:lang w:val="en-US" w:eastAsia="zh-CN"/>
        </w:rPr>
        <w:t>委托具有相关资质的维保单位</w:t>
      </w:r>
      <w:r>
        <w:rPr>
          <w:rFonts w:hint="eastAsia" w:ascii="Times New Roman" w:hAnsi="Times New Roman" w:eastAsia="方正仿宋_GBK" w:cs="Times New Roman"/>
          <w:color w:val="auto"/>
          <w:sz w:val="24"/>
          <w:szCs w:val="24"/>
          <w:lang w:val="en-US" w:eastAsia="zh-CN"/>
        </w:rPr>
        <w:t>，按电梯维护保养半包</w:t>
      </w:r>
      <w:r>
        <w:rPr>
          <w:rFonts w:hint="default" w:ascii="Times New Roman" w:hAnsi="Times New Roman" w:eastAsia="方正仿宋_GBK" w:cs="Times New Roman"/>
          <w:color w:val="auto"/>
          <w:sz w:val="24"/>
          <w:szCs w:val="24"/>
          <w:lang w:val="en-US" w:eastAsia="zh-CN"/>
        </w:rPr>
        <w:t>的方式</w:t>
      </w:r>
      <w:r>
        <w:rPr>
          <w:rFonts w:hint="eastAsia" w:ascii="Times New Roman" w:hAnsi="Times New Roman" w:eastAsia="方正仿宋_GBK" w:cs="Times New Roman"/>
          <w:color w:val="auto"/>
          <w:sz w:val="24"/>
          <w:szCs w:val="24"/>
          <w:lang w:val="en-US" w:eastAsia="zh-CN"/>
        </w:rPr>
        <w:t>进行。</w:t>
      </w:r>
    </w:p>
    <w:p w14:paraId="4B4283C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zh-CN" w:eastAsia="zh-CN"/>
        </w:rPr>
      </w:pPr>
      <w:r>
        <w:rPr>
          <w:rFonts w:hint="eastAsia" w:ascii="Times New Roman" w:hAnsi="Times New Roman" w:eastAsia="方正黑体_GBK" w:cs="Times New Roman"/>
          <w:color w:val="auto"/>
          <w:sz w:val="24"/>
          <w:szCs w:val="24"/>
          <w:lang w:val="en-US" w:eastAsia="zh-CN"/>
        </w:rPr>
        <w:t>二</w:t>
      </w:r>
      <w:r>
        <w:rPr>
          <w:rFonts w:hint="default" w:ascii="Times New Roman" w:hAnsi="Times New Roman" w:eastAsia="方正黑体_GBK" w:cs="Times New Roman"/>
          <w:color w:val="auto"/>
          <w:sz w:val="24"/>
          <w:szCs w:val="24"/>
          <w:lang w:val="en-US" w:eastAsia="zh-CN"/>
        </w:rPr>
        <w:t>、</w:t>
      </w:r>
      <w:r>
        <w:rPr>
          <w:rFonts w:hint="eastAsia" w:ascii="Times New Roman" w:hAnsi="Times New Roman" w:eastAsia="方正黑体_GBK" w:cs="Times New Roman"/>
          <w:color w:val="auto"/>
          <w:sz w:val="24"/>
          <w:szCs w:val="24"/>
          <w:lang w:val="en-US" w:eastAsia="zh-CN"/>
        </w:rPr>
        <w:t>比选</w:t>
      </w:r>
      <w:r>
        <w:rPr>
          <w:rFonts w:hint="default" w:ascii="Times New Roman" w:hAnsi="Times New Roman" w:eastAsia="方正黑体_GBK" w:cs="Times New Roman"/>
          <w:color w:val="auto"/>
          <w:sz w:val="24"/>
          <w:szCs w:val="24"/>
          <w:lang w:val="zh-CN" w:eastAsia="zh-CN"/>
        </w:rPr>
        <w:t>单位</w:t>
      </w:r>
      <w:r>
        <w:rPr>
          <w:rFonts w:hint="eastAsia" w:ascii="Times New Roman" w:hAnsi="Times New Roman" w:eastAsia="方正黑体_GBK" w:cs="Times New Roman"/>
          <w:color w:val="auto"/>
          <w:sz w:val="24"/>
          <w:szCs w:val="24"/>
          <w:lang w:val="zh-CN" w:eastAsia="zh-CN"/>
        </w:rPr>
        <w:t>：</w:t>
      </w:r>
      <w:r>
        <w:rPr>
          <w:rFonts w:hint="eastAsia" w:ascii="Times New Roman" w:hAnsi="Times New Roman" w:eastAsia="方正仿宋_GBK" w:cs="Times New Roman"/>
          <w:color w:val="auto"/>
          <w:sz w:val="24"/>
          <w:szCs w:val="24"/>
          <w:lang w:val="en-US" w:eastAsia="zh-CN"/>
        </w:rPr>
        <w:t>重庆市种畜场</w:t>
      </w:r>
      <w:r>
        <w:rPr>
          <w:rFonts w:hint="default" w:ascii="Times New Roman" w:hAnsi="Times New Roman" w:eastAsia="方正仿宋_GBK" w:cs="Times New Roman"/>
          <w:color w:val="auto"/>
          <w:sz w:val="24"/>
          <w:szCs w:val="24"/>
          <w:lang w:val="zh-CN" w:eastAsia="zh-CN"/>
        </w:rPr>
        <w:t>。</w:t>
      </w:r>
    </w:p>
    <w:p w14:paraId="26543D3B">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heme="minorEastAsia" w:hAnsiTheme="minorEastAsia" w:eastAsiaTheme="minorEastAsia" w:cstheme="minorEastAsia"/>
          <w:bCs/>
          <w:color w:val="auto"/>
          <w:kern w:val="0"/>
          <w:sz w:val="24"/>
          <w:szCs w:val="24"/>
          <w:u w:val="single"/>
          <w:lang w:val="en-US" w:eastAsia="zh-CN"/>
        </w:rPr>
      </w:pPr>
      <w:r>
        <w:rPr>
          <w:rFonts w:hint="eastAsia" w:ascii="方正黑体_GBK" w:hAnsi="方正黑体_GBK" w:eastAsia="方正黑体_GBK" w:cs="方正黑体_GBK"/>
          <w:b w:val="0"/>
          <w:bCs w:val="0"/>
          <w:color w:val="auto"/>
          <w:kern w:val="0"/>
          <w:sz w:val="24"/>
          <w:szCs w:val="24"/>
          <w:lang w:val="en-US" w:eastAsia="zh-CN"/>
        </w:rPr>
        <w:t>三</w:t>
      </w:r>
      <w:r>
        <w:rPr>
          <w:rFonts w:hint="eastAsia" w:ascii="方正黑体_GBK" w:hAnsi="方正黑体_GBK" w:eastAsia="方正黑体_GBK" w:cs="方正黑体_GBK"/>
          <w:b w:val="0"/>
          <w:bCs w:val="0"/>
          <w:color w:val="auto"/>
          <w:kern w:val="0"/>
          <w:sz w:val="24"/>
          <w:szCs w:val="24"/>
        </w:rPr>
        <w:t>、</w:t>
      </w:r>
      <w:r>
        <w:rPr>
          <w:rFonts w:hint="eastAsia" w:ascii="方正黑体_GBK" w:hAnsi="方正黑体_GBK" w:eastAsia="方正黑体_GBK" w:cs="方正黑体_GBK"/>
          <w:b w:val="0"/>
          <w:bCs w:val="0"/>
          <w:color w:val="auto"/>
          <w:kern w:val="0"/>
          <w:sz w:val="24"/>
          <w:szCs w:val="24"/>
          <w:lang w:val="en-US" w:eastAsia="zh-CN"/>
        </w:rPr>
        <w:t>比选</w:t>
      </w:r>
      <w:r>
        <w:rPr>
          <w:rFonts w:hint="eastAsia" w:ascii="方正黑体_GBK" w:hAnsi="方正黑体_GBK" w:eastAsia="方正黑体_GBK" w:cs="方正黑体_GBK"/>
          <w:b w:val="0"/>
          <w:bCs w:val="0"/>
          <w:color w:val="auto"/>
          <w:kern w:val="0"/>
          <w:sz w:val="24"/>
          <w:szCs w:val="24"/>
        </w:rPr>
        <w:t>方式：</w:t>
      </w:r>
      <w:r>
        <w:rPr>
          <w:rFonts w:hint="eastAsia" w:ascii="方正仿宋_GBK" w:hAnsi="方正仿宋_GBK" w:eastAsia="方正仿宋_GBK" w:cs="方正仿宋_GBK"/>
          <w:b w:val="0"/>
          <w:bCs w:val="0"/>
          <w:color w:val="auto"/>
          <w:kern w:val="0"/>
          <w:sz w:val="24"/>
          <w:szCs w:val="24"/>
          <w:lang w:val="en-US" w:eastAsia="zh-CN"/>
        </w:rPr>
        <w:t>公开比选。</w:t>
      </w:r>
    </w:p>
    <w:p w14:paraId="5F8EDFDC">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Times New Roman" w:hAnsi="Times New Roman" w:eastAsia="方正仿宋_GBK" w:cs="Times New Roman"/>
          <w:color w:val="auto"/>
          <w:sz w:val="24"/>
          <w:szCs w:val="24"/>
          <w:lang w:val="en-US" w:eastAsia="zh-CN"/>
        </w:rPr>
      </w:pPr>
      <w:r>
        <w:rPr>
          <w:rFonts w:hint="eastAsia" w:ascii="方正黑体_GBK" w:hAnsi="方正黑体_GBK" w:eastAsia="方正黑体_GBK" w:cs="方正黑体_GBK"/>
          <w:b w:val="0"/>
          <w:bCs w:val="0"/>
          <w:color w:val="auto"/>
          <w:kern w:val="0"/>
          <w:sz w:val="24"/>
          <w:szCs w:val="24"/>
          <w:lang w:val="en-US" w:eastAsia="zh-CN"/>
        </w:rPr>
        <w:t>四</w:t>
      </w:r>
      <w:r>
        <w:rPr>
          <w:rFonts w:hint="eastAsia" w:ascii="方正黑体_GBK" w:hAnsi="方正黑体_GBK" w:eastAsia="方正黑体_GBK" w:cs="方正黑体_GBK"/>
          <w:b w:val="0"/>
          <w:bCs w:val="0"/>
          <w:color w:val="auto"/>
          <w:kern w:val="0"/>
          <w:sz w:val="24"/>
          <w:szCs w:val="24"/>
        </w:rPr>
        <w:t>、</w:t>
      </w:r>
      <w:r>
        <w:rPr>
          <w:rFonts w:hint="eastAsia" w:ascii="方正黑体_GBK" w:hAnsi="方正黑体_GBK" w:eastAsia="方正黑体_GBK" w:cs="方正黑体_GBK"/>
          <w:b w:val="0"/>
          <w:bCs w:val="0"/>
          <w:color w:val="auto"/>
          <w:kern w:val="0"/>
          <w:sz w:val="24"/>
          <w:szCs w:val="24"/>
          <w:lang w:val="en-US" w:eastAsia="zh-CN"/>
        </w:rPr>
        <w:t>比选标的：</w:t>
      </w:r>
      <w:r>
        <w:rPr>
          <w:rFonts w:hint="eastAsia" w:ascii="方正仿宋_GBK" w:hAnsi="方正仿宋_GBK" w:eastAsia="方正仿宋_GBK" w:cs="方正仿宋_GBK"/>
          <w:b w:val="0"/>
          <w:bCs w:val="0"/>
          <w:color w:val="auto"/>
          <w:kern w:val="0"/>
          <w:sz w:val="24"/>
          <w:szCs w:val="24"/>
          <w:lang w:val="en-US" w:eastAsia="zh-CN"/>
        </w:rPr>
        <w:t>最高</w:t>
      </w:r>
      <w:r>
        <w:rPr>
          <w:rFonts w:hint="default" w:ascii="Times New Roman" w:hAnsi="Times New Roman" w:eastAsia="方正仿宋_GBK" w:cs="Times New Roman"/>
          <w:bCs/>
          <w:color w:val="auto"/>
          <w:sz w:val="24"/>
          <w:szCs w:val="24"/>
          <w:lang w:eastAsia="zh-CN"/>
        </w:rPr>
        <w:t>限价</w:t>
      </w:r>
      <w:r>
        <w:rPr>
          <w:rFonts w:hint="eastAsia" w:ascii="Times New Roman" w:hAnsi="Times New Roman" w:eastAsia="方正仿宋_GBK" w:cs="Times New Roman"/>
          <w:bCs/>
          <w:color w:val="auto"/>
          <w:sz w:val="24"/>
          <w:szCs w:val="24"/>
          <w:lang w:val="en-US" w:eastAsia="zh-CN"/>
        </w:rPr>
        <w:t>为人民币3万元/年，叁年共计9万元（含税）。</w:t>
      </w:r>
    </w:p>
    <w:p w14:paraId="34CFE3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黑体_GBK" w:cs="Times New Roman"/>
          <w:color w:val="auto"/>
          <w:sz w:val="24"/>
          <w:szCs w:val="24"/>
          <w:lang w:val="en-US" w:eastAsia="zh-CN"/>
        </w:rPr>
      </w:pPr>
      <w:r>
        <w:rPr>
          <w:rFonts w:hint="eastAsia" w:ascii="Times New Roman" w:hAnsi="Times New Roman" w:eastAsia="方正黑体_GBK" w:cs="Times New Roman"/>
          <w:color w:val="auto"/>
          <w:sz w:val="24"/>
          <w:szCs w:val="24"/>
          <w:lang w:val="en-US" w:eastAsia="zh-CN"/>
        </w:rPr>
        <w:t>五</w:t>
      </w:r>
      <w:r>
        <w:rPr>
          <w:rFonts w:hint="default" w:ascii="Times New Roman" w:hAnsi="Times New Roman" w:eastAsia="方正黑体_GBK" w:cs="Times New Roman"/>
          <w:color w:val="auto"/>
          <w:sz w:val="24"/>
          <w:szCs w:val="24"/>
          <w:lang w:val="en-US" w:eastAsia="zh-CN"/>
        </w:rPr>
        <w:t>、获取比选文件方式</w:t>
      </w:r>
    </w:p>
    <w:p w14:paraId="012E0BD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重庆市种畜场</w:t>
      </w:r>
      <w:r>
        <w:rPr>
          <w:rFonts w:hint="default" w:ascii="Times New Roman" w:hAnsi="Times New Roman" w:eastAsia="方正仿宋_GBK" w:cs="Times New Roman"/>
          <w:color w:val="auto"/>
          <w:sz w:val="24"/>
          <w:szCs w:val="24"/>
          <w:lang w:val="en-US" w:eastAsia="zh-CN"/>
        </w:rPr>
        <w:t>官网（http://cqszcc.cn//）自行下载。</w:t>
      </w:r>
    </w:p>
    <w:p w14:paraId="3A780C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黑体_GBK" w:cs="Times New Roman"/>
          <w:color w:val="auto"/>
          <w:sz w:val="24"/>
          <w:szCs w:val="24"/>
          <w:lang w:val="en-US" w:eastAsia="zh-CN"/>
        </w:rPr>
      </w:pPr>
      <w:r>
        <w:rPr>
          <w:rFonts w:hint="eastAsia" w:ascii="Times New Roman" w:hAnsi="Times New Roman" w:eastAsia="方正黑体_GBK" w:cs="Times New Roman"/>
          <w:color w:val="auto"/>
          <w:sz w:val="24"/>
          <w:szCs w:val="24"/>
          <w:lang w:val="en-US" w:eastAsia="zh-CN"/>
        </w:rPr>
        <w:t>六</w:t>
      </w:r>
      <w:r>
        <w:rPr>
          <w:rFonts w:hint="default" w:ascii="Times New Roman" w:hAnsi="Times New Roman" w:eastAsia="方正黑体_GBK" w:cs="Times New Roman"/>
          <w:color w:val="auto"/>
          <w:sz w:val="24"/>
          <w:szCs w:val="24"/>
          <w:lang w:val="en-US" w:eastAsia="zh-CN"/>
        </w:rPr>
        <w:t>、获取比选文件时间</w:t>
      </w:r>
    </w:p>
    <w:p w14:paraId="53DA43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30</w:t>
      </w:r>
      <w:r>
        <w:rPr>
          <w:rFonts w:hint="default" w:ascii="Times New Roman" w:hAnsi="Times New Roman" w:eastAsia="方正仿宋_GBK" w:cs="Times New Roman"/>
          <w:color w:val="auto"/>
          <w:sz w:val="24"/>
          <w:szCs w:val="24"/>
          <w:lang w:val="en-US" w:eastAsia="zh-CN"/>
        </w:rPr>
        <w:t>日-202</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lang w:val="en-US" w:eastAsia="zh-CN"/>
        </w:rPr>
        <w:t>日</w:t>
      </w:r>
      <w:r>
        <w:rPr>
          <w:rFonts w:hint="default" w:ascii="Times New Roman" w:hAnsi="Times New Roman" w:eastAsia="方正仿宋_GBK" w:cs="Times New Roman"/>
          <w:color w:val="auto"/>
          <w:sz w:val="24"/>
          <w:szCs w:val="24"/>
          <w:lang w:val="en-US" w:eastAsia="zh-CN"/>
        </w:rPr>
        <w:t>。</w:t>
      </w:r>
    </w:p>
    <w:p w14:paraId="708E4A74">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lang w:val="en-US" w:eastAsia="zh-CN"/>
        </w:rPr>
        <w:t>七、</w:t>
      </w:r>
      <w:r>
        <w:rPr>
          <w:rFonts w:hint="eastAsia" w:ascii="方正黑体_GBK" w:hAnsi="方正黑体_GBK" w:eastAsia="方正黑体_GBK" w:cs="方正黑体_GBK"/>
          <w:b w:val="0"/>
          <w:bCs w:val="0"/>
          <w:color w:val="auto"/>
          <w:kern w:val="0"/>
          <w:sz w:val="24"/>
          <w:szCs w:val="24"/>
        </w:rPr>
        <w:t>投标人资质要求</w:t>
      </w:r>
    </w:p>
    <w:p w14:paraId="77D7D662">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rPr>
      </w:pPr>
      <w:r>
        <w:rPr>
          <w:rFonts w:hint="eastAsia" w:ascii="Times New Roman" w:hAnsi="Times New Roman" w:eastAsia="方正仿宋_GBK" w:cs="Times New Roman"/>
          <w:bCs/>
          <w:color w:val="auto"/>
          <w:kern w:val="0"/>
          <w:sz w:val="24"/>
          <w:szCs w:val="24"/>
          <w:lang w:val="en-US" w:eastAsia="zh-CN"/>
        </w:rPr>
        <w:t>1.</w:t>
      </w:r>
      <w:r>
        <w:rPr>
          <w:rFonts w:hint="default" w:ascii="Times New Roman" w:hAnsi="Times New Roman" w:eastAsia="方正仿宋_GBK" w:cs="Times New Roman"/>
          <w:bCs/>
          <w:color w:val="auto"/>
          <w:kern w:val="0"/>
          <w:sz w:val="24"/>
          <w:szCs w:val="24"/>
        </w:rPr>
        <w:t>具有独立法人资格的供应商；</w:t>
      </w:r>
    </w:p>
    <w:p w14:paraId="7B977F0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rPr>
      </w:pPr>
      <w:r>
        <w:rPr>
          <w:rFonts w:hint="eastAsia" w:ascii="Times New Roman" w:hAnsi="Times New Roman" w:eastAsia="方正仿宋_GBK" w:cs="Times New Roman"/>
          <w:bCs/>
          <w:color w:val="auto"/>
          <w:kern w:val="0"/>
          <w:sz w:val="24"/>
          <w:szCs w:val="24"/>
          <w:lang w:val="en-US" w:eastAsia="zh-CN"/>
        </w:rPr>
        <w:t>2.</w:t>
      </w:r>
      <w:r>
        <w:rPr>
          <w:rFonts w:hint="default" w:ascii="Times New Roman" w:hAnsi="Times New Roman" w:eastAsia="方正仿宋_GBK" w:cs="Times New Roman"/>
          <w:bCs/>
          <w:color w:val="auto"/>
          <w:kern w:val="0"/>
          <w:sz w:val="24"/>
          <w:szCs w:val="24"/>
        </w:rPr>
        <w:t>具备履行合同所需</w:t>
      </w:r>
      <w:r>
        <w:rPr>
          <w:rFonts w:hint="eastAsia" w:ascii="Times New Roman" w:hAnsi="Times New Roman" w:eastAsia="方正仿宋_GBK" w:cs="Times New Roman"/>
          <w:bCs/>
          <w:color w:val="auto"/>
          <w:kern w:val="0"/>
          <w:sz w:val="24"/>
          <w:szCs w:val="24"/>
          <w:lang w:eastAsia="zh-CN"/>
        </w:rPr>
        <w:t>的</w:t>
      </w:r>
      <w:r>
        <w:rPr>
          <w:rFonts w:hint="default" w:ascii="Times New Roman" w:hAnsi="Times New Roman" w:eastAsia="方正仿宋_GBK" w:cs="Times New Roman"/>
          <w:bCs/>
          <w:color w:val="auto"/>
          <w:kern w:val="0"/>
          <w:sz w:val="24"/>
          <w:szCs w:val="24"/>
        </w:rPr>
        <w:t>专业</w:t>
      </w:r>
      <w:r>
        <w:rPr>
          <w:rFonts w:hint="eastAsia" w:ascii="Times New Roman" w:hAnsi="Times New Roman" w:eastAsia="方正仿宋_GBK" w:cs="Times New Roman"/>
          <w:bCs/>
          <w:color w:val="auto"/>
          <w:kern w:val="0"/>
          <w:sz w:val="24"/>
          <w:szCs w:val="24"/>
          <w:lang w:val="en-US" w:eastAsia="zh-CN"/>
        </w:rPr>
        <w:t>资质</w:t>
      </w:r>
      <w:r>
        <w:rPr>
          <w:rFonts w:hint="default" w:ascii="Times New Roman" w:hAnsi="Times New Roman" w:eastAsia="方正仿宋_GBK" w:cs="Times New Roman"/>
          <w:bCs/>
          <w:color w:val="auto"/>
          <w:kern w:val="0"/>
          <w:sz w:val="24"/>
          <w:szCs w:val="24"/>
          <w:lang w:val="en-US" w:eastAsia="zh-CN"/>
        </w:rPr>
        <w:t>和</w:t>
      </w:r>
      <w:r>
        <w:rPr>
          <w:rFonts w:hint="eastAsia" w:ascii="Times New Roman" w:hAnsi="Times New Roman" w:eastAsia="方正仿宋_GBK" w:cs="Times New Roman"/>
          <w:bCs/>
          <w:color w:val="auto"/>
          <w:kern w:val="0"/>
          <w:sz w:val="24"/>
          <w:szCs w:val="24"/>
          <w:lang w:val="en-US" w:eastAsia="zh-CN"/>
        </w:rPr>
        <w:t>能力</w:t>
      </w:r>
      <w:r>
        <w:rPr>
          <w:rFonts w:hint="default" w:ascii="Times New Roman" w:hAnsi="Times New Roman" w:eastAsia="方正仿宋_GBK" w:cs="Times New Roman"/>
          <w:bCs/>
          <w:color w:val="auto"/>
          <w:kern w:val="0"/>
          <w:sz w:val="24"/>
          <w:szCs w:val="24"/>
        </w:rPr>
        <w:t>；</w:t>
      </w:r>
    </w:p>
    <w:p w14:paraId="27E5BC3B">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rPr>
      </w:pPr>
      <w:r>
        <w:rPr>
          <w:rFonts w:hint="eastAsia" w:ascii="Times New Roman" w:hAnsi="Times New Roman" w:eastAsia="方正仿宋_GBK" w:cs="Times New Roman"/>
          <w:bCs/>
          <w:color w:val="auto"/>
          <w:kern w:val="0"/>
          <w:sz w:val="24"/>
          <w:szCs w:val="24"/>
          <w:lang w:val="en-US" w:eastAsia="zh-CN"/>
        </w:rPr>
        <w:t>3.</w:t>
      </w:r>
      <w:r>
        <w:rPr>
          <w:rFonts w:hint="default" w:ascii="Times New Roman" w:hAnsi="Times New Roman" w:eastAsia="方正仿宋_GBK" w:cs="Times New Roman"/>
          <w:bCs/>
          <w:color w:val="auto"/>
          <w:kern w:val="0"/>
          <w:sz w:val="24"/>
          <w:szCs w:val="24"/>
        </w:rPr>
        <w:t>提供增值</w:t>
      </w:r>
      <w:r>
        <w:rPr>
          <w:rFonts w:hint="default" w:ascii="Times New Roman" w:hAnsi="Times New Roman" w:eastAsia="方正仿宋_GBK" w:cs="Times New Roman"/>
          <w:bCs/>
          <w:color w:val="auto"/>
          <w:kern w:val="0"/>
          <w:sz w:val="24"/>
          <w:szCs w:val="24"/>
        </w:rPr>
        <w:t>税</w:t>
      </w:r>
      <w:r>
        <w:rPr>
          <w:rFonts w:hint="eastAsia" w:ascii="Times New Roman" w:hAnsi="Times New Roman" w:eastAsia="方正仿宋_GBK" w:cs="Times New Roman"/>
          <w:bCs/>
          <w:color w:val="auto"/>
          <w:kern w:val="0"/>
          <w:sz w:val="24"/>
          <w:szCs w:val="24"/>
          <w:lang w:val="en-US" w:eastAsia="zh-CN"/>
        </w:rPr>
        <w:t>专用</w:t>
      </w:r>
      <w:r>
        <w:rPr>
          <w:rFonts w:hint="default" w:ascii="Times New Roman" w:hAnsi="Times New Roman" w:eastAsia="方正仿宋_GBK" w:cs="Times New Roman"/>
          <w:bCs/>
          <w:color w:val="auto"/>
          <w:kern w:val="0"/>
          <w:sz w:val="24"/>
          <w:szCs w:val="24"/>
        </w:rPr>
        <w:t>发票。</w:t>
      </w:r>
    </w:p>
    <w:p w14:paraId="021ED41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heme="minorEastAsia" w:hAnsiTheme="minorEastAsia" w:eastAsiaTheme="minorEastAsia" w:cstheme="minorEastAsia"/>
          <w:b/>
          <w:bCs/>
          <w:color w:val="auto"/>
          <w:kern w:val="0"/>
          <w:sz w:val="24"/>
          <w:szCs w:val="24"/>
          <w:lang w:val="en-US"/>
        </w:rPr>
      </w:pPr>
      <w:r>
        <w:rPr>
          <w:rFonts w:hint="eastAsia" w:ascii="方正黑体_GBK" w:hAnsi="方正黑体_GBK" w:eastAsia="方正黑体_GBK" w:cs="方正黑体_GBK"/>
          <w:b w:val="0"/>
          <w:bCs w:val="0"/>
          <w:color w:val="auto"/>
          <w:kern w:val="0"/>
          <w:sz w:val="24"/>
          <w:szCs w:val="24"/>
          <w:lang w:val="en-US" w:eastAsia="zh-CN"/>
        </w:rPr>
        <w:t>八</w:t>
      </w:r>
      <w:r>
        <w:rPr>
          <w:rFonts w:hint="eastAsia" w:ascii="方正黑体_GBK" w:hAnsi="方正黑体_GBK" w:eastAsia="方正黑体_GBK" w:cs="方正黑体_GBK"/>
          <w:b w:val="0"/>
          <w:bCs w:val="0"/>
          <w:color w:val="auto"/>
          <w:kern w:val="0"/>
          <w:sz w:val="24"/>
          <w:szCs w:val="24"/>
        </w:rPr>
        <w:t>、报名</w:t>
      </w:r>
      <w:r>
        <w:rPr>
          <w:rFonts w:hint="eastAsia" w:ascii="方正黑体_GBK" w:hAnsi="方正黑体_GBK" w:eastAsia="方正黑体_GBK" w:cs="方正黑体_GBK"/>
          <w:b w:val="0"/>
          <w:bCs w:val="0"/>
          <w:color w:val="auto"/>
          <w:kern w:val="0"/>
          <w:sz w:val="24"/>
          <w:szCs w:val="24"/>
          <w:lang w:val="en-US" w:eastAsia="zh-CN"/>
        </w:rPr>
        <w:t>及递交投标文件时间</w:t>
      </w:r>
    </w:p>
    <w:p w14:paraId="38DFEBCB">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lang w:val="en-US" w:eastAsia="zh-CN"/>
        </w:rPr>
      </w:pPr>
      <w:r>
        <w:rPr>
          <w:rFonts w:hint="eastAsia" w:ascii="Times New Roman" w:hAnsi="Times New Roman" w:eastAsia="方正仿宋_GBK" w:cs="Times New Roman"/>
          <w:bCs/>
          <w:color w:val="auto"/>
          <w:kern w:val="0"/>
          <w:sz w:val="24"/>
          <w:szCs w:val="24"/>
          <w:lang w:val="en-US" w:eastAsia="zh-CN"/>
        </w:rPr>
        <w:t>报名及</w:t>
      </w:r>
      <w:r>
        <w:rPr>
          <w:rFonts w:hint="default" w:ascii="Times New Roman" w:hAnsi="Times New Roman" w:eastAsia="方正仿宋_GBK" w:cs="Times New Roman"/>
          <w:bCs/>
          <w:color w:val="auto"/>
          <w:kern w:val="0"/>
          <w:sz w:val="24"/>
          <w:szCs w:val="24"/>
          <w:lang w:val="en-US" w:eastAsia="zh-CN"/>
        </w:rPr>
        <w:t>投标文件递交的截止时间：202</w:t>
      </w:r>
      <w:r>
        <w:rPr>
          <w:rFonts w:hint="eastAsia" w:ascii="Times New Roman" w:hAnsi="Times New Roman" w:eastAsia="方正仿宋_GBK" w:cs="Times New Roman"/>
          <w:bCs/>
          <w:color w:val="auto"/>
          <w:kern w:val="0"/>
          <w:sz w:val="24"/>
          <w:szCs w:val="24"/>
          <w:lang w:val="en-US" w:eastAsia="zh-CN"/>
        </w:rPr>
        <w:t>5</w:t>
      </w:r>
      <w:r>
        <w:rPr>
          <w:rFonts w:hint="default" w:ascii="Times New Roman" w:hAnsi="Times New Roman" w:eastAsia="方正仿宋_GBK" w:cs="Times New Roman"/>
          <w:bCs/>
          <w:color w:val="auto"/>
          <w:kern w:val="0"/>
          <w:sz w:val="24"/>
          <w:szCs w:val="24"/>
          <w:lang w:val="en-US" w:eastAsia="zh-CN"/>
        </w:rPr>
        <w:t>年</w:t>
      </w:r>
      <w:r>
        <w:rPr>
          <w:rFonts w:hint="eastAsia" w:ascii="Times New Roman" w:hAnsi="Times New Roman" w:eastAsia="方正仿宋_GBK" w:cs="Times New Roman"/>
          <w:bCs/>
          <w:color w:val="auto"/>
          <w:kern w:val="0"/>
          <w:sz w:val="24"/>
          <w:szCs w:val="24"/>
          <w:lang w:val="en-US" w:eastAsia="zh-CN"/>
        </w:rPr>
        <w:t>6</w:t>
      </w:r>
      <w:r>
        <w:rPr>
          <w:rFonts w:hint="default" w:ascii="Times New Roman" w:hAnsi="Times New Roman" w:eastAsia="方正仿宋_GBK" w:cs="Times New Roman"/>
          <w:bCs/>
          <w:color w:val="auto"/>
          <w:kern w:val="0"/>
          <w:sz w:val="24"/>
          <w:szCs w:val="24"/>
          <w:lang w:val="en-US" w:eastAsia="zh-CN"/>
        </w:rPr>
        <w:t>月</w:t>
      </w:r>
      <w:r>
        <w:rPr>
          <w:rFonts w:hint="eastAsia" w:ascii="Times New Roman" w:hAnsi="Times New Roman" w:eastAsia="方正仿宋_GBK" w:cs="Times New Roman"/>
          <w:bCs/>
          <w:color w:val="auto"/>
          <w:kern w:val="0"/>
          <w:sz w:val="24"/>
          <w:szCs w:val="24"/>
          <w:lang w:val="en-US" w:eastAsia="zh-CN"/>
        </w:rPr>
        <w:t>6</w:t>
      </w:r>
      <w:r>
        <w:rPr>
          <w:rFonts w:hint="default" w:ascii="Times New Roman" w:hAnsi="Times New Roman" w:eastAsia="方正仿宋_GBK" w:cs="Times New Roman"/>
          <w:bCs/>
          <w:color w:val="auto"/>
          <w:kern w:val="0"/>
          <w:sz w:val="24"/>
          <w:szCs w:val="24"/>
          <w:lang w:val="en-US" w:eastAsia="zh-CN"/>
        </w:rPr>
        <w:t>日17:00</w:t>
      </w:r>
      <w:r>
        <w:rPr>
          <w:rFonts w:hint="eastAsia" w:ascii="Times New Roman" w:hAnsi="Times New Roman" w:eastAsia="方正仿宋_GBK" w:cs="Times New Roman"/>
          <w:bCs/>
          <w:color w:val="auto"/>
          <w:kern w:val="0"/>
          <w:sz w:val="24"/>
          <w:szCs w:val="24"/>
          <w:lang w:val="en-US" w:eastAsia="zh-CN"/>
        </w:rPr>
        <w:t>。</w:t>
      </w:r>
    </w:p>
    <w:p w14:paraId="392DB427">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lang w:val="en-US" w:eastAsia="zh-CN" w:bidi="ar-SA"/>
        </w:rPr>
        <w:t>九、</w:t>
      </w:r>
      <w:r>
        <w:rPr>
          <w:rFonts w:hint="eastAsia" w:ascii="方正黑体_GBK" w:hAnsi="方正黑体_GBK" w:eastAsia="方正黑体_GBK" w:cs="方正黑体_GBK"/>
          <w:b w:val="0"/>
          <w:bCs w:val="0"/>
          <w:color w:val="auto"/>
          <w:kern w:val="0"/>
          <w:sz w:val="24"/>
          <w:szCs w:val="24"/>
        </w:rPr>
        <w:t>现场踏勘</w:t>
      </w:r>
    </w:p>
    <w:p w14:paraId="0F7825FD">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cs="仿宋" w:asciiTheme="minorEastAsia" w:hAnsiTheme="minorEastAsia" w:eastAsiaTheme="minorEastAsia"/>
          <w:bCs/>
          <w:color w:val="auto"/>
          <w:sz w:val="24"/>
          <w:szCs w:val="24"/>
        </w:rPr>
      </w:pPr>
      <w:r>
        <w:rPr>
          <w:rFonts w:hint="default" w:ascii="Times New Roman" w:hAnsi="Times New Roman" w:eastAsia="方正仿宋_GBK" w:cs="Times New Roman"/>
          <w:bCs/>
          <w:color w:val="auto"/>
          <w:sz w:val="24"/>
          <w:szCs w:val="24"/>
        </w:rPr>
        <w:t>投标单位自行完成现场踏勘，以便获取投标单位须自己负责的有关编制投标文件所有资料。无论投标单位是否踏勘过现场，均被认为在递交投标文件之前已经踏勘现场，对本合同项目的风险和义务已经十分了解</w:t>
      </w:r>
      <w:r>
        <w:rPr>
          <w:rFonts w:hint="default" w:ascii="Times New Roman" w:hAnsi="Times New Roman" w:eastAsia="方正仿宋_GBK" w:cs="Times New Roman"/>
          <w:bCs/>
          <w:color w:val="auto"/>
          <w:sz w:val="24"/>
          <w:szCs w:val="24"/>
        </w:rPr>
        <w:t>，并在其投标文件中已充分考虑了现场和环境条件</w:t>
      </w:r>
      <w:r>
        <w:rPr>
          <w:rFonts w:hint="eastAsia" w:cs="仿宋" w:asciiTheme="minorEastAsia" w:hAnsiTheme="minorEastAsia" w:eastAsiaTheme="minorEastAsia"/>
          <w:bCs/>
          <w:color w:val="auto"/>
          <w:sz w:val="24"/>
          <w:szCs w:val="24"/>
        </w:rPr>
        <w:t>。</w:t>
      </w:r>
    </w:p>
    <w:p w14:paraId="37B7910F">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cs="仿宋" w:asciiTheme="minorEastAsia" w:hAnsiTheme="minorEastAsia" w:eastAsiaTheme="minorEastAsia"/>
          <w:bCs/>
          <w:color w:val="auto"/>
          <w:kern w:val="0"/>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十</w:t>
      </w:r>
      <w:r>
        <w:rPr>
          <w:rFonts w:hint="eastAsia" w:ascii="方正黑体_GBK" w:hAnsi="方正黑体_GBK" w:eastAsia="方正黑体_GBK" w:cs="方正黑体_GBK"/>
          <w:b w:val="0"/>
          <w:bCs/>
          <w:color w:val="auto"/>
          <w:kern w:val="0"/>
          <w:sz w:val="24"/>
          <w:szCs w:val="24"/>
        </w:rPr>
        <w:t>、</w:t>
      </w:r>
      <w:r>
        <w:rPr>
          <w:rFonts w:hint="eastAsia" w:ascii="方正黑体_GBK" w:hAnsi="方正黑体_GBK" w:eastAsia="方正黑体_GBK" w:cs="方正黑体_GBK"/>
          <w:b w:val="0"/>
          <w:bCs/>
          <w:color w:val="auto"/>
          <w:kern w:val="0"/>
          <w:sz w:val="24"/>
          <w:szCs w:val="24"/>
          <w:lang w:val="en-US" w:eastAsia="zh-CN"/>
        </w:rPr>
        <w:t>比选</w:t>
      </w:r>
      <w:r>
        <w:rPr>
          <w:rFonts w:hint="eastAsia" w:ascii="方正黑体_GBK" w:hAnsi="方正黑体_GBK" w:eastAsia="方正黑体_GBK" w:cs="方正黑体_GBK"/>
          <w:b w:val="0"/>
          <w:bCs/>
          <w:color w:val="auto"/>
          <w:kern w:val="0"/>
          <w:sz w:val="24"/>
          <w:szCs w:val="24"/>
        </w:rPr>
        <w:t>时间：</w:t>
      </w:r>
      <w:r>
        <w:rPr>
          <w:rFonts w:hint="default" w:ascii="Times New Roman" w:hAnsi="Times New Roman" w:eastAsia="方正仿宋_GBK" w:cs="Times New Roman"/>
          <w:b w:val="0"/>
          <w:bCs/>
          <w:color w:val="auto"/>
          <w:kern w:val="0"/>
          <w:sz w:val="24"/>
          <w:szCs w:val="24"/>
          <w:lang w:val="en-US" w:eastAsia="zh-CN"/>
        </w:rPr>
        <w:t>202</w:t>
      </w:r>
      <w:r>
        <w:rPr>
          <w:rFonts w:hint="eastAsia" w:ascii="Times New Roman" w:hAnsi="Times New Roman" w:eastAsia="方正仿宋_GBK" w:cs="Times New Roman"/>
          <w:b w:val="0"/>
          <w:bCs/>
          <w:color w:val="auto"/>
          <w:kern w:val="0"/>
          <w:sz w:val="24"/>
          <w:szCs w:val="24"/>
          <w:lang w:val="en-US" w:eastAsia="zh-CN"/>
        </w:rPr>
        <w:t>5</w:t>
      </w:r>
      <w:r>
        <w:rPr>
          <w:rFonts w:hint="default" w:ascii="Times New Roman" w:hAnsi="Times New Roman" w:eastAsia="方正仿宋_GBK" w:cs="Times New Roman"/>
          <w:bCs/>
          <w:color w:val="auto"/>
          <w:kern w:val="0"/>
          <w:sz w:val="24"/>
          <w:szCs w:val="24"/>
        </w:rPr>
        <w:t>年</w:t>
      </w:r>
      <w:r>
        <w:rPr>
          <w:rFonts w:hint="eastAsia" w:ascii="Times New Roman" w:hAnsi="Times New Roman" w:eastAsia="方正仿宋_GBK" w:cs="Times New Roman"/>
          <w:bCs/>
          <w:color w:val="auto"/>
          <w:kern w:val="0"/>
          <w:sz w:val="24"/>
          <w:szCs w:val="24"/>
          <w:lang w:val="en-US" w:eastAsia="zh-CN"/>
        </w:rPr>
        <w:t>6</w:t>
      </w:r>
      <w:r>
        <w:rPr>
          <w:rFonts w:hint="default" w:ascii="Times New Roman" w:hAnsi="Times New Roman" w:eastAsia="方正仿宋_GBK" w:cs="Times New Roman"/>
          <w:bCs/>
          <w:color w:val="auto"/>
          <w:kern w:val="0"/>
          <w:sz w:val="24"/>
          <w:szCs w:val="24"/>
        </w:rPr>
        <w:t>月</w:t>
      </w:r>
      <w:r>
        <w:rPr>
          <w:rFonts w:hint="eastAsia" w:ascii="Times New Roman" w:hAnsi="Times New Roman" w:eastAsia="方正仿宋_GBK" w:cs="Times New Roman"/>
          <w:bCs/>
          <w:color w:val="auto"/>
          <w:sz w:val="24"/>
          <w:szCs w:val="24"/>
          <w:lang w:val="en-US" w:eastAsia="zh-CN"/>
        </w:rPr>
        <w:t>10</w:t>
      </w:r>
      <w:r>
        <w:rPr>
          <w:rFonts w:hint="default" w:ascii="Times New Roman" w:hAnsi="Times New Roman" w:eastAsia="方正仿宋_GBK" w:cs="Times New Roman"/>
          <w:bCs/>
          <w:color w:val="auto"/>
          <w:sz w:val="24"/>
          <w:szCs w:val="24"/>
        </w:rPr>
        <w:t>日</w:t>
      </w:r>
      <w:r>
        <w:rPr>
          <w:rFonts w:hint="eastAsia" w:ascii="Times New Roman" w:hAnsi="Times New Roman" w:eastAsia="方正仿宋_GBK" w:cs="Times New Roman"/>
          <w:bCs/>
          <w:color w:val="auto"/>
          <w:sz w:val="24"/>
          <w:szCs w:val="24"/>
          <w:lang w:val="en-US" w:eastAsia="zh-CN"/>
        </w:rPr>
        <w:t>15:00</w:t>
      </w:r>
      <w:r>
        <w:rPr>
          <w:rFonts w:hint="eastAsia" w:ascii="Times New Roman" w:hAnsi="Times New Roman" w:eastAsia="方正仿宋_GBK" w:cs="Times New Roman"/>
          <w:bCs/>
          <w:color w:val="auto"/>
          <w:sz w:val="24"/>
          <w:szCs w:val="24"/>
          <w:lang w:eastAsia="zh-CN"/>
        </w:rPr>
        <w:t>（</w:t>
      </w:r>
      <w:r>
        <w:rPr>
          <w:rFonts w:hint="eastAsia" w:ascii="Times New Roman" w:hAnsi="Times New Roman" w:eastAsia="方正仿宋_GBK" w:cs="Times New Roman"/>
          <w:bCs/>
          <w:color w:val="auto"/>
          <w:sz w:val="24"/>
          <w:szCs w:val="24"/>
          <w:lang w:val="en-US" w:eastAsia="zh-CN"/>
        </w:rPr>
        <w:t>暂定，以招标方通知为准</w:t>
      </w:r>
      <w:r>
        <w:rPr>
          <w:rFonts w:hint="eastAsia" w:ascii="Times New Roman" w:hAnsi="Times New Roman" w:eastAsia="方正仿宋_GBK" w:cs="Times New Roman"/>
          <w:bCs/>
          <w:color w:val="auto"/>
          <w:sz w:val="24"/>
          <w:szCs w:val="24"/>
          <w:lang w:eastAsia="zh-CN"/>
        </w:rPr>
        <w:t>）</w:t>
      </w:r>
      <w:r>
        <w:rPr>
          <w:rFonts w:hint="default" w:ascii="Times New Roman" w:hAnsi="Times New Roman" w:eastAsia="方正仿宋_GBK" w:cs="Times New Roman"/>
          <w:bCs/>
          <w:color w:val="auto"/>
          <w:kern w:val="0"/>
          <w:sz w:val="24"/>
          <w:szCs w:val="24"/>
        </w:rPr>
        <w:t>。</w:t>
      </w:r>
    </w:p>
    <w:p w14:paraId="43E13019">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cs="仿宋" w:asciiTheme="minorEastAsia" w:hAnsiTheme="minorEastAsia" w:eastAsiaTheme="minorEastAsia"/>
          <w:bCs/>
          <w:color w:val="auto"/>
          <w:kern w:val="0"/>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十一</w:t>
      </w:r>
      <w:r>
        <w:rPr>
          <w:rFonts w:hint="eastAsia" w:ascii="方正黑体_GBK" w:hAnsi="方正黑体_GBK" w:eastAsia="方正黑体_GBK" w:cs="方正黑体_GBK"/>
          <w:b w:val="0"/>
          <w:bCs/>
          <w:color w:val="auto"/>
          <w:kern w:val="0"/>
          <w:sz w:val="24"/>
          <w:szCs w:val="24"/>
        </w:rPr>
        <w:t>、</w:t>
      </w:r>
      <w:r>
        <w:rPr>
          <w:rFonts w:hint="eastAsia" w:ascii="方正黑体_GBK" w:hAnsi="方正黑体_GBK" w:eastAsia="方正黑体_GBK" w:cs="方正黑体_GBK"/>
          <w:b w:val="0"/>
          <w:bCs/>
          <w:color w:val="auto"/>
          <w:kern w:val="0"/>
          <w:sz w:val="24"/>
          <w:szCs w:val="24"/>
          <w:lang w:val="en-US" w:eastAsia="zh-CN"/>
        </w:rPr>
        <w:t>比选</w:t>
      </w:r>
      <w:r>
        <w:rPr>
          <w:rFonts w:hint="eastAsia" w:ascii="方正黑体_GBK" w:hAnsi="方正黑体_GBK" w:eastAsia="方正黑体_GBK" w:cs="方正黑体_GBK"/>
          <w:b w:val="0"/>
          <w:bCs/>
          <w:color w:val="auto"/>
          <w:kern w:val="0"/>
          <w:sz w:val="24"/>
          <w:szCs w:val="24"/>
        </w:rPr>
        <w:t>地点：</w:t>
      </w:r>
      <w:r>
        <w:rPr>
          <w:rFonts w:hint="default" w:ascii="Times New Roman" w:hAnsi="Times New Roman" w:eastAsia="方正仿宋_GBK" w:cs="Times New Roman"/>
          <w:b w:val="0"/>
          <w:bCs/>
          <w:color w:val="auto"/>
          <w:kern w:val="0"/>
          <w:sz w:val="24"/>
          <w:szCs w:val="24"/>
          <w:lang w:val="en-US" w:eastAsia="zh-CN"/>
        </w:rPr>
        <w:t>重庆市巴南区李家沱西流沱四村巨星花园A区182栋负一楼会议室。</w:t>
      </w:r>
    </w:p>
    <w:p w14:paraId="600C9C79">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十二</w:t>
      </w:r>
      <w:r>
        <w:rPr>
          <w:rFonts w:hint="eastAsia" w:ascii="方正黑体_GBK" w:hAnsi="方正黑体_GBK" w:eastAsia="方正黑体_GBK" w:cs="方正黑体_GBK"/>
          <w:b w:val="0"/>
          <w:bCs/>
          <w:color w:val="auto"/>
          <w:kern w:val="0"/>
          <w:sz w:val="24"/>
          <w:szCs w:val="24"/>
        </w:rPr>
        <w:t>、联系人及电话</w:t>
      </w:r>
      <w:r>
        <w:rPr>
          <w:rFonts w:hint="eastAsia" w:cs="仿宋" w:asciiTheme="minorEastAsia" w:hAnsiTheme="minorEastAsia" w:eastAsiaTheme="minorEastAsia"/>
          <w:b/>
          <w:color w:val="auto"/>
          <w:kern w:val="0"/>
          <w:sz w:val="24"/>
          <w:szCs w:val="24"/>
          <w:lang w:eastAsia="zh-CN"/>
        </w:rPr>
        <w:t>：</w:t>
      </w:r>
      <w:r>
        <w:rPr>
          <w:rFonts w:hint="eastAsia" w:ascii="方正仿宋_GBK" w:hAnsi="方正仿宋_GBK" w:eastAsia="方正仿宋_GBK" w:cs="方正仿宋_GBK"/>
          <w:bCs/>
          <w:color w:val="auto"/>
          <w:sz w:val="24"/>
          <w:szCs w:val="24"/>
          <w:lang w:val="en-US" w:eastAsia="zh-CN"/>
        </w:rPr>
        <w:t>李老师，</w:t>
      </w:r>
      <w:r>
        <w:rPr>
          <w:rFonts w:hint="default" w:ascii="Times New Roman" w:hAnsi="Times New Roman" w:eastAsia="方正仿宋_GBK" w:cs="Times New Roman"/>
          <w:bCs/>
          <w:color w:val="auto"/>
          <w:sz w:val="24"/>
          <w:szCs w:val="24"/>
          <w:lang w:val="en-US" w:eastAsia="zh-CN"/>
        </w:rPr>
        <w:t>023-625</w:t>
      </w:r>
      <w:r>
        <w:rPr>
          <w:rFonts w:hint="eastAsia" w:ascii="Times New Roman" w:hAnsi="Times New Roman" w:eastAsia="方正仿宋_GBK" w:cs="Times New Roman"/>
          <w:bCs/>
          <w:color w:val="auto"/>
          <w:sz w:val="24"/>
          <w:szCs w:val="24"/>
          <w:lang w:val="en-US" w:eastAsia="zh-CN"/>
        </w:rPr>
        <w:t>95328，15025344677</w:t>
      </w:r>
    </w:p>
    <w:p w14:paraId="6753F23C">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方正黑体_GBK" w:hAnsi="方正黑体_GBK" w:eastAsia="方正黑体_GBK" w:cs="方正黑体_GBK"/>
          <w:color w:val="auto"/>
          <w:kern w:val="0"/>
          <w:sz w:val="24"/>
          <w:szCs w:val="24"/>
          <w:highlight w:val="none"/>
          <w:lang w:val="en-US" w:eastAsia="zh-CN"/>
        </w:rPr>
        <w:t>十三</w:t>
      </w:r>
      <w:r>
        <w:rPr>
          <w:rFonts w:hint="eastAsia" w:ascii="方正黑体_GBK" w:hAnsi="方正黑体_GBK" w:eastAsia="方正黑体_GBK" w:cs="方正黑体_GBK"/>
          <w:color w:val="auto"/>
          <w:kern w:val="0"/>
          <w:sz w:val="24"/>
          <w:szCs w:val="24"/>
          <w:highlight w:val="none"/>
        </w:rPr>
        <w:t>、其他要求</w:t>
      </w:r>
    </w:p>
    <w:p w14:paraId="2AA7FCB5">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方正仿宋_GBK" w:cs="Times New Roman"/>
          <w:color w:val="auto"/>
          <w:kern w:val="0"/>
          <w:sz w:val="24"/>
          <w:szCs w:val="24"/>
          <w:highlight w:val="none"/>
        </w:rPr>
      </w:pP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lang w:val="en-US" w:eastAsia="zh-CN"/>
        </w:rPr>
        <w:t>一</w:t>
      </w: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rPr>
        <w:t>投标人不得存在下列情形之一：</w:t>
      </w:r>
    </w:p>
    <w:p w14:paraId="56C38CE5">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与招标人存在利害关系可能影响招标公正性的法人、其他组织或者个人；</w:t>
      </w:r>
    </w:p>
    <w:p w14:paraId="24B71595">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被责令停业的；</w:t>
      </w:r>
    </w:p>
    <w:p w14:paraId="6ED22A89">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被暂停或取消投标资格的；</w:t>
      </w:r>
    </w:p>
    <w:p w14:paraId="6E8CD1DD">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财产被接管或冻结的；</w:t>
      </w:r>
    </w:p>
    <w:p w14:paraId="0148245B">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单位负责人为同一人或者存在控股、管理关系的不同单位，不得同时投标。</w:t>
      </w:r>
    </w:p>
    <w:p w14:paraId="29149B01">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方正仿宋_GBK" w:cs="Times New Roman"/>
          <w:color w:val="auto"/>
          <w:kern w:val="0"/>
          <w:sz w:val="24"/>
          <w:szCs w:val="24"/>
          <w:highlight w:val="none"/>
        </w:rPr>
      </w:pP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lang w:val="en-US" w:eastAsia="zh-CN"/>
        </w:rPr>
        <w:t>二</w:t>
      </w: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rPr>
        <w:t>不得委托代理商参与投标</w:t>
      </w:r>
      <w:r>
        <w:rPr>
          <w:rFonts w:hint="default" w:ascii="Times New Roman" w:hAnsi="Times New Roman" w:eastAsia="方正仿宋_GBK" w:cs="Times New Roman"/>
          <w:color w:val="auto"/>
          <w:kern w:val="0"/>
          <w:sz w:val="24"/>
          <w:szCs w:val="24"/>
          <w:highlight w:val="none"/>
        </w:rPr>
        <w:t>。</w:t>
      </w:r>
    </w:p>
    <w:p w14:paraId="659DDB2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方正仿宋_GBK" w:cs="Times New Roman"/>
          <w:color w:val="auto"/>
          <w:kern w:val="0"/>
          <w:sz w:val="24"/>
          <w:szCs w:val="24"/>
          <w:highlight w:val="none"/>
          <w:lang w:eastAsia="zh-CN"/>
        </w:rPr>
      </w:pP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lang w:val="en-US" w:eastAsia="zh-CN"/>
        </w:rPr>
        <w:t>三</w:t>
      </w: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rPr>
        <w:t>本次招标不接受联合体投标，中标后不得转包</w:t>
      </w:r>
      <w:r>
        <w:rPr>
          <w:rFonts w:hint="default" w:ascii="Times New Roman" w:hAnsi="Times New Roman" w:eastAsia="方正仿宋_GBK" w:cs="Times New Roman"/>
          <w:color w:val="auto"/>
          <w:kern w:val="0"/>
          <w:sz w:val="24"/>
          <w:szCs w:val="24"/>
          <w:highlight w:val="none"/>
          <w:lang w:eastAsia="zh-CN"/>
        </w:rPr>
        <w:t>。</w:t>
      </w:r>
    </w:p>
    <w:p w14:paraId="79E5A160">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黑体_GBK" w:cs="Times New Roman"/>
          <w:color w:val="auto"/>
          <w:sz w:val="24"/>
          <w:szCs w:val="24"/>
          <w:lang w:val="en-US" w:eastAsia="zh-CN"/>
        </w:rPr>
      </w:pPr>
    </w:p>
    <w:p w14:paraId="4CCE4DD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黑体_GBK" w:cs="Times New Roman"/>
          <w:color w:val="auto"/>
          <w:sz w:val="24"/>
          <w:szCs w:val="24"/>
          <w:lang w:val="en-US" w:eastAsia="zh-CN"/>
        </w:rPr>
      </w:pPr>
      <w:r>
        <w:rPr>
          <w:rFonts w:hint="eastAsia" w:ascii="Times New Roman" w:hAnsi="Times New Roman" w:eastAsia="方正黑体_GBK" w:cs="Times New Roman"/>
          <w:color w:val="auto"/>
          <w:sz w:val="24"/>
          <w:szCs w:val="24"/>
          <w:lang w:val="en-US" w:eastAsia="zh-CN"/>
        </w:rPr>
        <w:t>备注：1.投标人参与本项目投标所涉相关费用由投标人自行承担。</w:t>
      </w:r>
    </w:p>
    <w:p w14:paraId="3E2820D9">
      <w:pPr>
        <w:keepNext w:val="0"/>
        <w:keepLines w:val="0"/>
        <w:pageBreakBefore w:val="0"/>
        <w:kinsoku/>
        <w:wordWrap/>
        <w:overflowPunct/>
        <w:topLinePunct w:val="0"/>
        <w:autoSpaceDE/>
        <w:autoSpaceDN/>
        <w:bidi w:val="0"/>
        <w:adjustRightInd/>
        <w:snapToGrid/>
        <w:spacing w:line="360" w:lineRule="exact"/>
        <w:ind w:firstLine="1200" w:firstLineChars="500"/>
        <w:textAlignment w:val="auto"/>
        <w:rPr>
          <w:rFonts w:cs="仿宋" w:asciiTheme="minorEastAsia" w:hAnsiTheme="minorEastAsia" w:eastAsiaTheme="minorEastAsia"/>
          <w:bCs/>
          <w:color w:val="auto"/>
          <w:sz w:val="24"/>
          <w:szCs w:val="24"/>
        </w:rPr>
      </w:pPr>
      <w:r>
        <w:rPr>
          <w:rFonts w:hint="eastAsia" w:ascii="Times New Roman" w:hAnsi="Times New Roman" w:eastAsia="方正黑体_GBK" w:cs="Times New Roman"/>
          <w:color w:val="auto"/>
          <w:sz w:val="24"/>
          <w:szCs w:val="24"/>
          <w:lang w:val="en-US" w:eastAsia="zh-CN"/>
        </w:rPr>
        <w:t>2.</w:t>
      </w:r>
      <w:r>
        <w:rPr>
          <w:rFonts w:hint="default" w:ascii="Times New Roman" w:hAnsi="Times New Roman" w:eastAsia="方正黑体_GBK" w:cs="Times New Roman"/>
          <w:color w:val="auto"/>
          <w:sz w:val="24"/>
          <w:szCs w:val="24"/>
          <w:lang w:val="en-US" w:eastAsia="zh-CN"/>
        </w:rPr>
        <w:t>本</w:t>
      </w:r>
      <w:r>
        <w:rPr>
          <w:rFonts w:hint="eastAsia" w:ascii="Times New Roman" w:hAnsi="Times New Roman" w:eastAsia="方正黑体_GBK" w:cs="Times New Roman"/>
          <w:color w:val="auto"/>
          <w:sz w:val="24"/>
          <w:szCs w:val="24"/>
          <w:lang w:val="en-US" w:eastAsia="zh-CN"/>
        </w:rPr>
        <w:t>比选</w:t>
      </w:r>
      <w:r>
        <w:rPr>
          <w:rFonts w:hint="default" w:ascii="Times New Roman" w:hAnsi="Times New Roman" w:eastAsia="方正黑体_GBK" w:cs="Times New Roman"/>
          <w:color w:val="auto"/>
          <w:sz w:val="24"/>
          <w:szCs w:val="24"/>
          <w:lang w:val="en-US" w:eastAsia="zh-CN"/>
        </w:rPr>
        <w:t>公告</w:t>
      </w:r>
      <w:r>
        <w:rPr>
          <w:rFonts w:hint="default" w:ascii="Times New Roman" w:hAnsi="Times New Roman" w:eastAsia="方正黑体_GBK" w:cs="Times New Roman"/>
          <w:color w:val="auto"/>
          <w:sz w:val="24"/>
          <w:szCs w:val="24"/>
        </w:rPr>
        <w:t>中</w:t>
      </w:r>
      <w:r>
        <w:rPr>
          <w:rFonts w:hint="default" w:ascii="Times New Roman" w:hAnsi="Times New Roman" w:eastAsia="方正黑体_GBK" w:cs="Times New Roman"/>
          <w:color w:val="auto"/>
          <w:sz w:val="24"/>
          <w:szCs w:val="24"/>
          <w:lang w:val="en-US" w:eastAsia="zh-CN"/>
        </w:rPr>
        <w:t>若有</w:t>
      </w:r>
      <w:r>
        <w:rPr>
          <w:rFonts w:hint="default" w:ascii="Times New Roman" w:hAnsi="Times New Roman" w:eastAsia="方正黑体_GBK" w:cs="Times New Roman"/>
          <w:color w:val="auto"/>
          <w:sz w:val="24"/>
          <w:szCs w:val="24"/>
        </w:rPr>
        <w:t>内容不详或概念不清</w:t>
      </w:r>
      <w:r>
        <w:rPr>
          <w:rFonts w:hint="default" w:ascii="Times New Roman" w:hAnsi="Times New Roman" w:eastAsia="方正黑体_GBK" w:cs="Times New Roman"/>
          <w:color w:val="auto"/>
          <w:sz w:val="24"/>
          <w:szCs w:val="24"/>
          <w:lang w:val="en-US" w:eastAsia="zh-CN"/>
        </w:rPr>
        <w:t>之处</w:t>
      </w:r>
      <w:r>
        <w:rPr>
          <w:rFonts w:hint="default" w:ascii="Times New Roman" w:hAnsi="Times New Roman" w:eastAsia="方正黑体_GBK" w:cs="Times New Roman"/>
          <w:color w:val="auto"/>
          <w:sz w:val="24"/>
          <w:szCs w:val="24"/>
        </w:rPr>
        <w:t>，归招</w:t>
      </w:r>
      <w:r>
        <w:rPr>
          <w:rFonts w:hint="eastAsia" w:ascii="Times New Roman" w:hAnsi="Times New Roman" w:eastAsia="方正黑体_GBK" w:cs="Times New Roman"/>
          <w:color w:val="auto"/>
          <w:sz w:val="24"/>
          <w:szCs w:val="24"/>
          <w:lang w:val="en-US" w:eastAsia="zh-CN"/>
        </w:rPr>
        <w:t>标</w:t>
      </w:r>
      <w:r>
        <w:rPr>
          <w:rFonts w:hint="default" w:ascii="Times New Roman" w:hAnsi="Times New Roman" w:eastAsia="方正黑体_GBK" w:cs="Times New Roman"/>
          <w:color w:val="auto"/>
          <w:sz w:val="24"/>
          <w:szCs w:val="24"/>
        </w:rPr>
        <w:t>方统一解释。</w:t>
      </w:r>
    </w:p>
    <w:p w14:paraId="0931D67F">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6335D0F6">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483B0126">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3524A45D">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63847DE9">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449C6883">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249F66D9">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4DF6D921">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2537A34C">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3ACB19DA">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76972BE3">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7667F69E">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6CE1E898">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0A1CCCC6">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2861AB5B">
      <w:pPr>
        <w:widowControl/>
        <w:spacing w:line="360" w:lineRule="exact"/>
        <w:jc w:val="center"/>
        <w:rPr>
          <w:rFonts w:hint="eastAsia" w:ascii="方正黑体_GBK" w:hAnsi="方正黑体_GBK" w:eastAsia="方正黑体_GBK" w:cs="方正黑体_GBK"/>
          <w:b w:val="0"/>
          <w:bCs/>
          <w:color w:val="auto"/>
          <w:sz w:val="32"/>
          <w:szCs w:val="32"/>
        </w:rPr>
      </w:pPr>
    </w:p>
    <w:p w14:paraId="0171CAAB">
      <w:pPr>
        <w:widowControl/>
        <w:spacing w:line="360" w:lineRule="exact"/>
        <w:jc w:val="center"/>
        <w:rPr>
          <w:rFonts w:hint="eastAsia" w:ascii="方正黑体_GBK" w:hAnsi="方正黑体_GBK" w:eastAsia="方正黑体_GBK" w:cs="方正黑体_GBK"/>
          <w:b w:val="0"/>
          <w:bCs/>
          <w:color w:val="auto"/>
          <w:sz w:val="32"/>
          <w:szCs w:val="32"/>
        </w:rPr>
      </w:pPr>
    </w:p>
    <w:p w14:paraId="11EC6B2D">
      <w:pPr>
        <w:widowControl/>
        <w:spacing w:line="360" w:lineRule="exact"/>
        <w:jc w:val="center"/>
        <w:rPr>
          <w:rFonts w:hint="eastAsia" w:ascii="方正黑体_GBK" w:hAnsi="方正黑体_GBK" w:eastAsia="方正黑体_GBK" w:cs="方正黑体_GBK"/>
          <w:b w:val="0"/>
          <w:bCs/>
          <w:color w:val="auto"/>
          <w:sz w:val="32"/>
          <w:szCs w:val="32"/>
        </w:rPr>
      </w:pPr>
    </w:p>
    <w:p w14:paraId="4C6312D5">
      <w:pPr>
        <w:widowControl/>
        <w:spacing w:line="360" w:lineRule="exact"/>
        <w:jc w:val="center"/>
        <w:rPr>
          <w:rFonts w:hint="eastAsia" w:ascii="方正黑体_GBK" w:hAnsi="方正黑体_GBK" w:eastAsia="方正黑体_GBK" w:cs="方正黑体_GBK"/>
          <w:b w:val="0"/>
          <w:bCs/>
          <w:color w:val="auto"/>
          <w:sz w:val="32"/>
          <w:szCs w:val="32"/>
        </w:rPr>
      </w:pPr>
    </w:p>
    <w:p w14:paraId="4DF4A7F1">
      <w:pPr>
        <w:widowControl/>
        <w:spacing w:line="360" w:lineRule="exact"/>
        <w:jc w:val="center"/>
        <w:rPr>
          <w:rFonts w:hint="eastAsia" w:ascii="方正黑体_GBK" w:hAnsi="方正黑体_GBK" w:eastAsia="方正黑体_GBK" w:cs="方正黑体_GBK"/>
          <w:b w:val="0"/>
          <w:bCs/>
          <w:color w:val="auto"/>
          <w:sz w:val="32"/>
          <w:szCs w:val="32"/>
        </w:rPr>
      </w:pPr>
    </w:p>
    <w:p w14:paraId="562AAD4C">
      <w:pPr>
        <w:widowControl/>
        <w:spacing w:line="360" w:lineRule="exact"/>
        <w:jc w:val="center"/>
        <w:rPr>
          <w:rFonts w:hint="eastAsia" w:ascii="方正黑体_GBK" w:hAnsi="方正黑体_GBK" w:eastAsia="方正黑体_GBK" w:cs="方正黑体_GBK"/>
          <w:b w:val="0"/>
          <w:bCs/>
          <w:color w:val="auto"/>
          <w:sz w:val="32"/>
          <w:szCs w:val="32"/>
        </w:rPr>
      </w:pPr>
    </w:p>
    <w:p w14:paraId="098C5935">
      <w:pPr>
        <w:widowControl/>
        <w:spacing w:line="360" w:lineRule="exact"/>
        <w:jc w:val="center"/>
        <w:rPr>
          <w:rFonts w:hint="eastAsia" w:ascii="方正黑体_GBK" w:hAnsi="方正黑体_GBK" w:eastAsia="方正黑体_GBK" w:cs="方正黑体_GBK"/>
          <w:b w:val="0"/>
          <w:bCs/>
          <w:color w:val="auto"/>
          <w:sz w:val="32"/>
          <w:szCs w:val="32"/>
        </w:rPr>
      </w:pPr>
    </w:p>
    <w:p w14:paraId="0B2CA21B">
      <w:pPr>
        <w:widowControl/>
        <w:spacing w:line="360" w:lineRule="exact"/>
        <w:jc w:val="center"/>
        <w:rPr>
          <w:rFonts w:hint="eastAsia" w:ascii="方正黑体_GBK" w:hAnsi="方正黑体_GBK" w:eastAsia="方正黑体_GBK" w:cs="方正黑体_GBK"/>
          <w:b w:val="0"/>
          <w:bCs/>
          <w:color w:val="auto"/>
          <w:sz w:val="32"/>
          <w:szCs w:val="32"/>
        </w:rPr>
      </w:pPr>
    </w:p>
    <w:p w14:paraId="68653019">
      <w:pPr>
        <w:widowControl/>
        <w:spacing w:line="360" w:lineRule="exact"/>
        <w:jc w:val="center"/>
        <w:rPr>
          <w:rFonts w:hint="eastAsia" w:ascii="方正黑体_GBK" w:hAnsi="方正黑体_GBK" w:eastAsia="方正黑体_GBK" w:cs="方正黑体_GBK"/>
          <w:b w:val="0"/>
          <w:bCs/>
          <w:color w:val="auto"/>
          <w:sz w:val="32"/>
          <w:szCs w:val="32"/>
        </w:rPr>
      </w:pPr>
    </w:p>
    <w:p w14:paraId="0A2D9934">
      <w:pPr>
        <w:widowControl/>
        <w:spacing w:line="360" w:lineRule="exact"/>
        <w:jc w:val="center"/>
        <w:rPr>
          <w:rFonts w:hint="eastAsia" w:ascii="方正黑体_GBK" w:hAnsi="方正黑体_GBK" w:eastAsia="方正黑体_GBK" w:cs="方正黑体_GBK"/>
          <w:b w:val="0"/>
          <w:bCs/>
          <w:color w:val="auto"/>
          <w:sz w:val="32"/>
          <w:szCs w:val="32"/>
        </w:rPr>
      </w:pPr>
    </w:p>
    <w:p w14:paraId="7D5070B7">
      <w:pPr>
        <w:widowControl/>
        <w:spacing w:line="360" w:lineRule="exact"/>
        <w:jc w:val="center"/>
        <w:rPr>
          <w:rFonts w:hint="eastAsia" w:ascii="方正黑体_GBK" w:hAnsi="方正黑体_GBK" w:eastAsia="方正黑体_GBK" w:cs="方正黑体_GBK"/>
          <w:b w:val="0"/>
          <w:bCs/>
          <w:color w:val="auto"/>
          <w:sz w:val="32"/>
          <w:szCs w:val="32"/>
        </w:rPr>
      </w:pPr>
    </w:p>
    <w:p w14:paraId="5C83136E">
      <w:pPr>
        <w:widowControl/>
        <w:spacing w:line="360" w:lineRule="exact"/>
        <w:jc w:val="center"/>
        <w:rPr>
          <w:rFonts w:hint="eastAsia" w:ascii="方正黑体_GBK" w:hAnsi="方正黑体_GBK" w:eastAsia="方正黑体_GBK" w:cs="方正黑体_GBK"/>
          <w:b w:val="0"/>
          <w:bCs/>
          <w:color w:val="auto"/>
          <w:sz w:val="32"/>
          <w:szCs w:val="32"/>
        </w:rPr>
      </w:pPr>
    </w:p>
    <w:p w14:paraId="21F7D9C1">
      <w:pPr>
        <w:widowControl/>
        <w:spacing w:line="360" w:lineRule="exact"/>
        <w:jc w:val="center"/>
        <w:rPr>
          <w:rFonts w:hint="eastAsia" w:ascii="方正黑体_GBK" w:hAnsi="方正黑体_GBK" w:eastAsia="方正黑体_GBK" w:cs="方正黑体_GBK"/>
          <w:b w:val="0"/>
          <w:bCs/>
          <w:color w:val="auto"/>
          <w:sz w:val="32"/>
          <w:szCs w:val="32"/>
        </w:rPr>
      </w:pPr>
    </w:p>
    <w:p w14:paraId="7EE7307B">
      <w:pPr>
        <w:widowControl/>
        <w:spacing w:line="360" w:lineRule="exact"/>
        <w:jc w:val="center"/>
        <w:rPr>
          <w:rFonts w:hint="eastAsia" w:ascii="方正黑体_GBK" w:hAnsi="方正黑体_GBK" w:eastAsia="方正黑体_GBK" w:cs="方正黑体_GBK"/>
          <w:b w:val="0"/>
          <w:bCs/>
          <w:color w:val="auto"/>
          <w:sz w:val="32"/>
          <w:szCs w:val="32"/>
        </w:rPr>
      </w:pPr>
    </w:p>
    <w:p w14:paraId="3693B940">
      <w:pPr>
        <w:widowControl/>
        <w:spacing w:line="360" w:lineRule="exact"/>
        <w:jc w:val="center"/>
        <w:rPr>
          <w:rFonts w:hint="eastAsia" w:ascii="方正黑体_GBK" w:hAnsi="方正黑体_GBK" w:eastAsia="方正黑体_GBK" w:cs="方正黑体_GBK"/>
          <w:b w:val="0"/>
          <w:bCs/>
          <w:color w:val="auto"/>
          <w:sz w:val="32"/>
          <w:szCs w:val="32"/>
        </w:rPr>
      </w:pPr>
    </w:p>
    <w:p w14:paraId="67AE1DA4">
      <w:pPr>
        <w:widowControl/>
        <w:spacing w:line="360" w:lineRule="exact"/>
        <w:jc w:val="center"/>
        <w:rPr>
          <w:rFonts w:hint="eastAsia" w:ascii="方正黑体_GBK" w:hAnsi="方正黑体_GBK" w:eastAsia="方正黑体_GBK" w:cs="方正黑体_GBK"/>
          <w:b w:val="0"/>
          <w:bCs/>
          <w:color w:val="auto"/>
          <w:sz w:val="32"/>
          <w:szCs w:val="32"/>
        </w:rPr>
      </w:pPr>
    </w:p>
    <w:p w14:paraId="3F0E53E1">
      <w:pPr>
        <w:widowControl/>
        <w:spacing w:line="360" w:lineRule="exact"/>
        <w:jc w:val="center"/>
        <w:rPr>
          <w:rFonts w:hint="eastAsia" w:ascii="方正黑体_GBK" w:hAnsi="方正黑体_GBK" w:eastAsia="方正黑体_GBK" w:cs="方正黑体_GBK"/>
          <w:b w:val="0"/>
          <w:bCs/>
          <w:color w:val="auto"/>
          <w:sz w:val="32"/>
          <w:szCs w:val="32"/>
        </w:rPr>
      </w:pPr>
    </w:p>
    <w:p w14:paraId="41D7699B">
      <w:pPr>
        <w:widowControl/>
        <w:spacing w:line="360" w:lineRule="exact"/>
        <w:jc w:val="center"/>
        <w:rPr>
          <w:rFonts w:hint="eastAsia" w:ascii="方正黑体_GBK" w:hAnsi="方正黑体_GBK" w:eastAsia="方正黑体_GBK" w:cs="方正黑体_GBK"/>
          <w:b w:val="0"/>
          <w:bCs/>
          <w:color w:val="auto"/>
          <w:sz w:val="32"/>
          <w:szCs w:val="32"/>
        </w:rPr>
      </w:pPr>
    </w:p>
    <w:p w14:paraId="1E0CFDB1">
      <w:pPr>
        <w:widowControl/>
        <w:spacing w:line="360" w:lineRule="exact"/>
        <w:jc w:val="center"/>
        <w:rPr>
          <w:rFonts w:hint="eastAsia" w:ascii="方正黑体_GBK" w:hAnsi="方正黑体_GBK" w:eastAsia="方正黑体_GBK" w:cs="方正黑体_GBK"/>
          <w:b w:val="0"/>
          <w:bCs/>
          <w:color w:val="auto"/>
          <w:sz w:val="32"/>
          <w:szCs w:val="32"/>
        </w:rPr>
      </w:pPr>
    </w:p>
    <w:p w14:paraId="05E582F3">
      <w:pPr>
        <w:widowControl/>
        <w:spacing w:line="360" w:lineRule="exact"/>
        <w:jc w:val="center"/>
        <w:rPr>
          <w:rFonts w:hint="eastAsia" w:ascii="方正黑体_GBK" w:hAnsi="方正黑体_GBK" w:eastAsia="方正黑体_GBK" w:cs="方正黑体_GBK"/>
          <w:b w:val="0"/>
          <w:bCs/>
          <w:color w:val="auto"/>
          <w:sz w:val="32"/>
          <w:szCs w:val="32"/>
        </w:rPr>
      </w:pPr>
    </w:p>
    <w:p w14:paraId="7D6FFBAE">
      <w:pPr>
        <w:widowControl/>
        <w:spacing w:line="360" w:lineRule="exact"/>
        <w:jc w:val="center"/>
        <w:rPr>
          <w:rFonts w:cs="仿宋" w:asciiTheme="minorEastAsia" w:hAnsiTheme="minorEastAsia" w:eastAsiaTheme="minorEastAsia"/>
          <w:color w:val="auto"/>
          <w:kern w:val="0"/>
          <w:sz w:val="24"/>
          <w:szCs w:val="24"/>
        </w:rPr>
      </w:pPr>
      <w:r>
        <w:rPr>
          <w:rFonts w:hint="eastAsia" w:ascii="方正黑体_GBK" w:hAnsi="方正黑体_GBK" w:eastAsia="方正黑体_GBK" w:cs="方正黑体_GBK"/>
          <w:b w:val="0"/>
          <w:bCs/>
          <w:color w:val="auto"/>
          <w:sz w:val="32"/>
          <w:szCs w:val="32"/>
        </w:rPr>
        <w:t>第二部分  投标单位须知</w:t>
      </w:r>
      <w:bookmarkEnd w:id="0"/>
    </w:p>
    <w:p w14:paraId="28318DAA">
      <w:pPr>
        <w:widowControl/>
        <w:spacing w:line="360" w:lineRule="exact"/>
        <w:ind w:firstLine="480" w:firstLineChars="200"/>
        <w:jc w:val="left"/>
        <w:rPr>
          <w:rFonts w:hint="eastAsia" w:ascii="方正黑体_GBK" w:hAnsi="方正黑体_GBK" w:eastAsia="方正黑体_GBK" w:cs="方正黑体_GBK"/>
          <w:b w:val="0"/>
          <w:bCs w:val="0"/>
          <w:color w:val="auto"/>
          <w:sz w:val="24"/>
          <w:szCs w:val="24"/>
        </w:rPr>
      </w:pPr>
      <w:bookmarkStart w:id="24" w:name="_Toc525031554"/>
      <w:r>
        <w:rPr>
          <w:rFonts w:hint="eastAsia" w:ascii="方正黑体_GBK" w:hAnsi="方正黑体_GBK" w:eastAsia="方正黑体_GBK" w:cs="方正黑体_GBK"/>
          <w:b w:val="0"/>
          <w:bCs w:val="0"/>
          <w:color w:val="auto"/>
          <w:sz w:val="24"/>
          <w:szCs w:val="24"/>
        </w:rPr>
        <w:t>一、投标文件</w:t>
      </w:r>
      <w:bookmarkEnd w:id="24"/>
    </w:p>
    <w:p w14:paraId="35473F9B">
      <w:pPr>
        <w:spacing w:line="360" w:lineRule="exact"/>
        <w:ind w:firstLine="482" w:firstLineChars="200"/>
        <w:rPr>
          <w:rFonts w:hint="default" w:cs="仿宋" w:asciiTheme="minorEastAsia" w:hAnsiTheme="minorEastAsia" w:eastAsiaTheme="minorEastAsia"/>
          <w:bCs/>
          <w:color w:val="auto"/>
          <w:kern w:val="0"/>
          <w:sz w:val="24"/>
          <w:szCs w:val="24"/>
          <w:lang w:val="en-US" w:eastAsia="zh-CN"/>
        </w:rPr>
      </w:pPr>
      <w:r>
        <w:rPr>
          <w:rFonts w:hint="eastAsia" w:ascii="方正楷体_GBK" w:hAnsi="方正楷体_GBK" w:eastAsia="方正楷体_GBK" w:cs="方正楷体_GBK"/>
          <w:b/>
          <w:bCs w:val="0"/>
          <w:color w:val="auto"/>
          <w:kern w:val="0"/>
          <w:sz w:val="24"/>
          <w:szCs w:val="24"/>
          <w:lang w:val="en-US" w:eastAsia="zh-CN"/>
        </w:rPr>
        <w:t>（一）投标文件装订及密封要求</w:t>
      </w:r>
    </w:p>
    <w:p w14:paraId="7FEA3921">
      <w:pPr>
        <w:spacing w:line="45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1.投标文件</w:t>
      </w:r>
      <w:r>
        <w:rPr>
          <w:rFonts w:hint="default" w:ascii="Times New Roman" w:hAnsi="Times New Roman" w:eastAsia="方正仿宋_GBK" w:cs="Times New Roman"/>
          <w:color w:val="auto"/>
          <w:sz w:val="24"/>
          <w:szCs w:val="24"/>
          <w:highlight w:val="none"/>
        </w:rPr>
        <w:t>要左侧装订成册。</w:t>
      </w:r>
    </w:p>
    <w:p w14:paraId="7616AE73">
      <w:pPr>
        <w:spacing w:line="45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要用封条在投标文件袋背面上方开口处密封，并填写密封日期，加盖投标人公章。</w:t>
      </w:r>
    </w:p>
    <w:p w14:paraId="64469E0B">
      <w:pPr>
        <w:spacing w:line="360" w:lineRule="exact"/>
        <w:ind w:firstLine="480" w:firstLineChars="200"/>
        <w:rPr>
          <w:rFonts w:hint="default" w:ascii="Times New Roman" w:hAnsi="Times New Roman" w:eastAsia="方正仿宋_GBK" w:cs="Times New Roman"/>
          <w:bCs/>
          <w:color w:val="auto"/>
          <w:kern w:val="0"/>
          <w:sz w:val="24"/>
          <w:szCs w:val="24"/>
        </w:rPr>
      </w:pPr>
      <w:r>
        <w:rPr>
          <w:rFonts w:hint="default"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封皮上写明招标项目名称及投标人名称。</w:t>
      </w:r>
    </w:p>
    <w:p w14:paraId="1CE861A4">
      <w:pPr>
        <w:spacing w:line="360" w:lineRule="exact"/>
        <w:ind w:firstLine="482" w:firstLineChars="200"/>
        <w:rPr>
          <w:rFonts w:hint="eastAsia" w:ascii="方正楷体_GBK" w:hAnsi="方正楷体_GBK" w:eastAsia="方正楷体_GBK" w:cs="方正楷体_GBK"/>
          <w:b/>
          <w:bCs w:val="0"/>
          <w:color w:val="auto"/>
          <w:kern w:val="0"/>
          <w:sz w:val="24"/>
          <w:szCs w:val="24"/>
          <w:lang w:val="en-US" w:eastAsia="zh-CN"/>
        </w:rPr>
      </w:pPr>
      <w:r>
        <w:rPr>
          <w:rFonts w:hint="eastAsia" w:ascii="方正楷体_GBK" w:hAnsi="方正楷体_GBK" w:eastAsia="方正楷体_GBK" w:cs="方正楷体_GBK"/>
          <w:b/>
          <w:bCs w:val="0"/>
          <w:color w:val="auto"/>
          <w:kern w:val="0"/>
          <w:sz w:val="24"/>
          <w:szCs w:val="24"/>
          <w:lang w:eastAsia="zh-CN"/>
        </w:rPr>
        <w:t>（</w:t>
      </w:r>
      <w:r>
        <w:rPr>
          <w:rFonts w:hint="eastAsia" w:ascii="方正楷体_GBK" w:hAnsi="方正楷体_GBK" w:eastAsia="方正楷体_GBK" w:cs="方正楷体_GBK"/>
          <w:b/>
          <w:bCs w:val="0"/>
          <w:color w:val="auto"/>
          <w:kern w:val="0"/>
          <w:sz w:val="24"/>
          <w:szCs w:val="24"/>
          <w:lang w:val="en-US" w:eastAsia="zh-CN"/>
        </w:rPr>
        <w:t>二</w:t>
      </w:r>
      <w:r>
        <w:rPr>
          <w:rFonts w:hint="eastAsia" w:ascii="方正楷体_GBK" w:hAnsi="方正楷体_GBK" w:eastAsia="方正楷体_GBK" w:cs="方正楷体_GBK"/>
          <w:b/>
          <w:bCs w:val="0"/>
          <w:color w:val="auto"/>
          <w:kern w:val="0"/>
          <w:sz w:val="24"/>
          <w:szCs w:val="24"/>
          <w:lang w:eastAsia="zh-CN"/>
        </w:rPr>
        <w:t>）</w:t>
      </w:r>
      <w:r>
        <w:rPr>
          <w:rFonts w:hint="eastAsia" w:ascii="方正楷体_GBK" w:hAnsi="方正楷体_GBK" w:eastAsia="方正楷体_GBK" w:cs="方正楷体_GBK"/>
          <w:b/>
          <w:bCs w:val="0"/>
          <w:color w:val="auto"/>
          <w:kern w:val="0"/>
          <w:sz w:val="24"/>
          <w:szCs w:val="24"/>
          <w:lang w:val="en-US" w:eastAsia="zh-CN"/>
        </w:rPr>
        <w:t>投标文件递交要求</w:t>
      </w:r>
    </w:p>
    <w:p w14:paraId="0712031C">
      <w:pPr>
        <w:spacing w:line="450" w:lineRule="exact"/>
        <w:ind w:firstLine="480" w:firstLineChars="200"/>
        <w:rPr>
          <w:rFonts w:hint="default" w:ascii="Times New Roman" w:hAnsi="Times New Roman" w:eastAsia="方正仿宋_GBK" w:cs="Times New Roman"/>
          <w:color w:val="auto"/>
          <w:sz w:val="24"/>
          <w:szCs w:val="24"/>
          <w:highlight w:val="none"/>
          <w:lang w:eastAsia="zh-CN"/>
        </w:rPr>
      </w:pPr>
      <w:bookmarkStart w:id="25" w:name="_Toc525031556"/>
      <w:r>
        <w:rPr>
          <w:rFonts w:hint="default" w:ascii="Times New Roman" w:hAnsi="Times New Roman" w:eastAsia="方正仿宋_GBK" w:cs="Times New Roman"/>
          <w:color w:val="auto"/>
          <w:kern w:val="0"/>
          <w:sz w:val="24"/>
          <w:szCs w:val="24"/>
          <w:highlight w:val="none"/>
        </w:rPr>
        <w:t>1</w:t>
      </w:r>
      <w:r>
        <w:rPr>
          <w:rFonts w:hint="eastAsia" w:ascii="Times New Roman" w:hAnsi="Times New Roman" w:eastAsia="方正仿宋_GBK" w:cs="Times New Roman"/>
          <w:color w:val="auto"/>
          <w:kern w:val="0"/>
          <w:sz w:val="24"/>
          <w:szCs w:val="24"/>
          <w:highlight w:val="none"/>
          <w:lang w:val="en-US" w:eastAsia="zh-CN"/>
        </w:rPr>
        <w:t>.</w:t>
      </w:r>
      <w:r>
        <w:rPr>
          <w:rFonts w:hint="default" w:ascii="Times New Roman" w:hAnsi="Times New Roman" w:eastAsia="方正仿宋_GBK" w:cs="Times New Roman"/>
          <w:color w:val="auto"/>
          <w:kern w:val="0"/>
          <w:sz w:val="24"/>
          <w:szCs w:val="24"/>
          <w:highlight w:val="none"/>
        </w:rPr>
        <w:t>投标文件递交的截止时间</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bCs/>
          <w:color w:val="auto"/>
          <w:kern w:val="0"/>
          <w:sz w:val="24"/>
          <w:szCs w:val="24"/>
          <w:lang w:val="en-US" w:eastAsia="zh-CN"/>
        </w:rPr>
        <w:t>202</w:t>
      </w:r>
      <w:r>
        <w:rPr>
          <w:rFonts w:hint="eastAsia" w:ascii="Times New Roman" w:hAnsi="Times New Roman" w:eastAsia="方正仿宋_GBK" w:cs="Times New Roman"/>
          <w:bCs/>
          <w:color w:val="auto"/>
          <w:kern w:val="0"/>
          <w:sz w:val="24"/>
          <w:szCs w:val="24"/>
          <w:lang w:val="en-US" w:eastAsia="zh-CN"/>
        </w:rPr>
        <w:t>5</w:t>
      </w:r>
      <w:r>
        <w:rPr>
          <w:rFonts w:hint="default" w:ascii="Times New Roman" w:hAnsi="Times New Roman" w:eastAsia="方正仿宋_GBK" w:cs="Times New Roman"/>
          <w:bCs/>
          <w:color w:val="auto"/>
          <w:kern w:val="0"/>
          <w:sz w:val="24"/>
          <w:szCs w:val="24"/>
          <w:lang w:val="en-US" w:eastAsia="zh-CN"/>
        </w:rPr>
        <w:t>年</w:t>
      </w:r>
      <w:r>
        <w:rPr>
          <w:rFonts w:hint="eastAsia" w:ascii="Times New Roman" w:hAnsi="Times New Roman" w:eastAsia="方正仿宋_GBK" w:cs="Times New Roman"/>
          <w:bCs/>
          <w:color w:val="auto"/>
          <w:kern w:val="0"/>
          <w:sz w:val="24"/>
          <w:szCs w:val="24"/>
          <w:lang w:val="en-US" w:eastAsia="zh-CN"/>
        </w:rPr>
        <w:t>6</w:t>
      </w:r>
      <w:r>
        <w:rPr>
          <w:rFonts w:hint="default" w:ascii="Times New Roman" w:hAnsi="Times New Roman" w:eastAsia="方正仿宋_GBK" w:cs="Times New Roman"/>
          <w:bCs/>
          <w:color w:val="auto"/>
          <w:kern w:val="0"/>
          <w:sz w:val="24"/>
          <w:szCs w:val="24"/>
          <w:lang w:val="en-US" w:eastAsia="zh-CN"/>
        </w:rPr>
        <w:t>月</w:t>
      </w:r>
      <w:r>
        <w:rPr>
          <w:rFonts w:hint="eastAsia" w:ascii="Times New Roman" w:hAnsi="Times New Roman" w:eastAsia="方正仿宋_GBK" w:cs="Times New Roman"/>
          <w:bCs/>
          <w:color w:val="auto"/>
          <w:kern w:val="0"/>
          <w:sz w:val="24"/>
          <w:szCs w:val="24"/>
          <w:lang w:val="en-US" w:eastAsia="zh-CN"/>
        </w:rPr>
        <w:t>6</w:t>
      </w:r>
      <w:r>
        <w:rPr>
          <w:rFonts w:hint="default" w:ascii="Times New Roman" w:hAnsi="Times New Roman" w:eastAsia="方正仿宋_GBK" w:cs="Times New Roman"/>
          <w:bCs/>
          <w:color w:val="auto"/>
          <w:kern w:val="0"/>
          <w:sz w:val="24"/>
          <w:szCs w:val="24"/>
          <w:lang w:val="en-US" w:eastAsia="zh-CN"/>
        </w:rPr>
        <w:t>日17:00</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逾期送达的或者未送达指定地点的投标文件，将不予受理</w:t>
      </w:r>
      <w:r>
        <w:rPr>
          <w:rFonts w:hint="default" w:ascii="Times New Roman" w:hAnsi="Times New Roman" w:eastAsia="方正仿宋_GBK" w:cs="Times New Roman"/>
          <w:color w:val="auto"/>
          <w:sz w:val="24"/>
          <w:szCs w:val="24"/>
          <w:highlight w:val="none"/>
          <w:lang w:eastAsia="zh-CN"/>
        </w:rPr>
        <w:t>。</w:t>
      </w:r>
    </w:p>
    <w:p w14:paraId="49E9E012">
      <w:pPr>
        <w:spacing w:line="450" w:lineRule="exact"/>
        <w:ind w:firstLine="480" w:firstLineChars="200"/>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kern w:val="0"/>
          <w:sz w:val="24"/>
          <w:szCs w:val="24"/>
          <w:highlight w:val="none"/>
          <w:lang w:val="en-US" w:eastAsia="zh-CN"/>
        </w:rPr>
        <w:t>投标文件要求：投标方应于截止时间前将密封的、加盖公章的比选响应文件</w:t>
      </w:r>
      <w:r>
        <w:rPr>
          <w:rFonts w:hint="eastAsia" w:ascii="Times New Roman" w:hAnsi="Times New Roman" w:eastAsia="方正仿宋_GBK" w:cs="Times New Roman"/>
          <w:color w:val="auto"/>
          <w:kern w:val="0"/>
          <w:sz w:val="24"/>
          <w:szCs w:val="24"/>
          <w:highlight w:val="none"/>
          <w:lang w:val="en-US" w:eastAsia="zh-CN"/>
        </w:rPr>
        <w:t>正本一套</w:t>
      </w:r>
      <w:r>
        <w:rPr>
          <w:rFonts w:hint="default" w:ascii="Times New Roman" w:hAnsi="Times New Roman" w:eastAsia="方正仿宋_GBK" w:cs="Times New Roman"/>
          <w:color w:val="auto"/>
          <w:kern w:val="0"/>
          <w:sz w:val="24"/>
          <w:szCs w:val="24"/>
          <w:highlight w:val="none"/>
          <w:lang w:val="en-US" w:eastAsia="zh-CN"/>
        </w:rPr>
        <w:t>送至比选地点（可快递），逾期收到或不符合规定的比选响应文件将被拒绝。无论参选方是否中标，比选响应文件将不予退还</w:t>
      </w:r>
      <w:r>
        <w:rPr>
          <w:rFonts w:hint="default" w:ascii="Times New Roman" w:hAnsi="Times New Roman" w:eastAsia="方正仿宋_GBK" w:cs="Times New Roman"/>
          <w:color w:val="auto"/>
          <w:kern w:val="0"/>
          <w:sz w:val="24"/>
          <w:szCs w:val="24"/>
          <w:highlight w:val="none"/>
        </w:rPr>
        <w:t>。</w:t>
      </w:r>
    </w:p>
    <w:p w14:paraId="607D36D0">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color w:val="auto"/>
          <w:kern w:val="0"/>
          <w:sz w:val="24"/>
          <w:szCs w:val="24"/>
          <w:highlight w:val="none"/>
          <w:lang w:val="en-US" w:eastAsia="zh-CN"/>
        </w:rPr>
        <w:t>3</w:t>
      </w:r>
      <w:r>
        <w:rPr>
          <w:rFonts w:hint="eastAsia" w:ascii="Times New Roman" w:hAnsi="Times New Roman" w:eastAsia="方正仿宋_GBK" w:cs="Times New Roman"/>
          <w:color w:val="auto"/>
          <w:kern w:val="0"/>
          <w:sz w:val="24"/>
          <w:szCs w:val="24"/>
          <w:highlight w:val="none"/>
          <w:lang w:val="en-US" w:eastAsia="zh-CN"/>
        </w:rPr>
        <w:t>.</w:t>
      </w:r>
      <w:r>
        <w:rPr>
          <w:rFonts w:hint="default" w:ascii="Times New Roman" w:hAnsi="Times New Roman" w:eastAsia="方正仿宋_GBK" w:cs="Times New Roman"/>
          <w:color w:val="auto"/>
          <w:kern w:val="0"/>
          <w:sz w:val="24"/>
          <w:szCs w:val="24"/>
          <w:highlight w:val="none"/>
        </w:rPr>
        <w:t>送达地点：</w:t>
      </w:r>
      <w:r>
        <w:rPr>
          <w:rFonts w:hint="eastAsia" w:ascii="Times New Roman" w:hAnsi="Times New Roman" w:eastAsia="方正仿宋_GBK" w:cs="Times New Roman"/>
          <w:bCs/>
          <w:color w:val="auto"/>
          <w:sz w:val="24"/>
          <w:szCs w:val="24"/>
          <w:lang w:val="en-US" w:eastAsia="zh-CN"/>
        </w:rPr>
        <w:t>巴南区李家沱西流沱四村巨星花园A区182栋负一楼后勤部办公室</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收件人：</w:t>
      </w:r>
      <w:r>
        <w:rPr>
          <w:rFonts w:hint="eastAsia" w:ascii="Times New Roman" w:hAnsi="Times New Roman" w:eastAsia="方正仿宋_GBK" w:cs="Times New Roman"/>
          <w:color w:val="auto"/>
          <w:kern w:val="0"/>
          <w:sz w:val="24"/>
          <w:szCs w:val="24"/>
          <w:highlight w:val="none"/>
          <w:lang w:val="en-US" w:eastAsia="zh-CN"/>
        </w:rPr>
        <w:t>李老师</w:t>
      </w:r>
      <w:r>
        <w:rPr>
          <w:rFonts w:hint="default" w:ascii="Times New Roman" w:hAnsi="Times New Roman" w:eastAsia="方正仿宋_GBK" w:cs="Times New Roman"/>
          <w:color w:val="auto"/>
          <w:kern w:val="0"/>
          <w:sz w:val="24"/>
          <w:szCs w:val="24"/>
          <w:highlight w:val="none"/>
          <w:lang w:val="en-US" w:eastAsia="zh-CN"/>
        </w:rPr>
        <w:t>，联系电话：</w:t>
      </w:r>
      <w:r>
        <w:rPr>
          <w:rFonts w:hint="default" w:ascii="Times New Roman" w:hAnsi="Times New Roman" w:eastAsia="方正仿宋_GBK" w:cs="Times New Roman"/>
          <w:bCs/>
          <w:color w:val="auto"/>
          <w:sz w:val="24"/>
          <w:szCs w:val="24"/>
          <w:lang w:val="en-US" w:eastAsia="zh-CN"/>
        </w:rPr>
        <w:t>023-625</w:t>
      </w:r>
      <w:r>
        <w:rPr>
          <w:rFonts w:hint="eastAsia" w:ascii="Times New Roman" w:hAnsi="Times New Roman" w:eastAsia="方正仿宋_GBK" w:cs="Times New Roman"/>
          <w:bCs/>
          <w:color w:val="auto"/>
          <w:sz w:val="24"/>
          <w:szCs w:val="24"/>
          <w:lang w:val="en-US" w:eastAsia="zh-CN"/>
        </w:rPr>
        <w:t>95328，15025344677</w:t>
      </w:r>
      <w:r>
        <w:rPr>
          <w:rFonts w:hint="default" w:ascii="Times New Roman" w:hAnsi="Times New Roman" w:eastAsia="方正仿宋_GBK" w:cs="Times New Roman"/>
          <w:color w:val="auto"/>
          <w:kern w:val="0"/>
          <w:sz w:val="24"/>
          <w:szCs w:val="24"/>
          <w:highlight w:val="none"/>
          <w:lang w:val="en-US" w:eastAsia="zh-CN"/>
        </w:rPr>
        <w:t>。</w:t>
      </w:r>
    </w:p>
    <w:bookmarkEnd w:id="25"/>
    <w:p w14:paraId="514AFF31">
      <w:pPr>
        <w:spacing w:line="360" w:lineRule="exact"/>
        <w:ind w:firstLine="480" w:firstLineChars="200"/>
        <w:rPr>
          <w:rFonts w:hint="eastAsia" w:ascii="方正黑体_GBK" w:hAnsi="方正黑体_GBK" w:eastAsia="方正黑体_GBK" w:cs="方正黑体_GBK"/>
          <w:b w:val="0"/>
          <w:bCs w:val="0"/>
          <w:color w:val="auto"/>
          <w:sz w:val="24"/>
          <w:szCs w:val="24"/>
        </w:rPr>
      </w:pPr>
      <w:bookmarkStart w:id="26" w:name="_Toc525031558"/>
      <w:r>
        <w:rPr>
          <w:rFonts w:hint="eastAsia" w:ascii="方正黑体_GBK" w:hAnsi="方正黑体_GBK" w:eastAsia="方正黑体_GBK" w:cs="方正黑体_GBK"/>
          <w:b w:val="0"/>
          <w:bCs w:val="0"/>
          <w:color w:val="auto"/>
          <w:sz w:val="24"/>
          <w:szCs w:val="24"/>
          <w:lang w:val="en-US" w:eastAsia="zh-CN"/>
        </w:rPr>
        <w:t>二</w:t>
      </w:r>
      <w:r>
        <w:rPr>
          <w:rFonts w:hint="eastAsia" w:ascii="方正黑体_GBK" w:hAnsi="方正黑体_GBK" w:eastAsia="方正黑体_GBK" w:cs="方正黑体_GBK"/>
          <w:b w:val="0"/>
          <w:bCs w:val="0"/>
          <w:color w:val="auto"/>
          <w:sz w:val="24"/>
          <w:szCs w:val="24"/>
        </w:rPr>
        <w:t>、评标标准</w:t>
      </w:r>
      <w:bookmarkEnd w:id="26"/>
    </w:p>
    <w:p w14:paraId="6853A365">
      <w:pPr>
        <w:spacing w:line="360" w:lineRule="exact"/>
        <w:ind w:firstLine="480" w:firstLineChars="200"/>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rPr>
        <w:t>本项目采取综合评分法进行评标确定中标单位。</w:t>
      </w:r>
    </w:p>
    <w:p w14:paraId="5B448189">
      <w:pPr>
        <w:spacing w:line="360" w:lineRule="exact"/>
        <w:ind w:firstLine="480" w:firstLineChars="200"/>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rPr>
        <w:t>当确定中标候选单位放弃中标或者因不可抗力提出不能履行合同的，招标单位可以依序确定其他中标候选单位为中标单位。</w:t>
      </w:r>
    </w:p>
    <w:p w14:paraId="51E95F06">
      <w:pPr>
        <w:spacing w:line="360" w:lineRule="exact"/>
        <w:ind w:firstLine="480" w:firstLineChars="200"/>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rPr>
        <w:t>招标单位确定中标单位后，招标单位以书面形式发出中标通知书。</w:t>
      </w:r>
    </w:p>
    <w:p w14:paraId="0B7A574C">
      <w:pPr>
        <w:spacing w:line="360" w:lineRule="exact"/>
        <w:ind w:firstLine="480" w:firstLineChars="200"/>
        <w:rPr>
          <w:rFonts w:cs="仿宋" w:asciiTheme="minorEastAsia" w:hAnsiTheme="minorEastAsia" w:eastAsiaTheme="minorEastAsia"/>
          <w:bCs/>
          <w:color w:val="auto"/>
          <w:sz w:val="24"/>
          <w:szCs w:val="24"/>
        </w:rPr>
      </w:pPr>
      <w:r>
        <w:rPr>
          <w:rFonts w:hint="default" w:ascii="Times New Roman" w:hAnsi="Times New Roman" w:eastAsia="方正仿宋_GBK" w:cs="Times New Roman"/>
          <w:bCs/>
          <w:color w:val="auto"/>
          <w:sz w:val="24"/>
          <w:szCs w:val="24"/>
        </w:rPr>
        <w:t>4</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rPr>
        <w:t>招标单位应自中标通知书发出之日起</w:t>
      </w:r>
      <w:r>
        <w:rPr>
          <w:rFonts w:hint="eastAsia" w:ascii="Times New Roman" w:hAnsi="Times New Roman" w:eastAsia="方正仿宋_GBK" w:cs="Times New Roman"/>
          <w:bCs/>
          <w:color w:val="auto"/>
          <w:sz w:val="24"/>
          <w:szCs w:val="24"/>
          <w:lang w:val="en-US" w:eastAsia="zh-CN"/>
        </w:rPr>
        <w:t>15个工作</w:t>
      </w:r>
      <w:r>
        <w:rPr>
          <w:rFonts w:hint="default" w:ascii="Times New Roman" w:hAnsi="Times New Roman" w:eastAsia="方正仿宋_GBK" w:cs="Times New Roman"/>
          <w:bCs/>
          <w:color w:val="auto"/>
          <w:sz w:val="24"/>
          <w:szCs w:val="24"/>
        </w:rPr>
        <w:t>日内与中标单位签订</w:t>
      </w:r>
      <w:r>
        <w:rPr>
          <w:rFonts w:hint="eastAsia" w:ascii="Times New Roman" w:hAnsi="Times New Roman" w:eastAsia="方正仿宋_GBK" w:cs="Times New Roman"/>
          <w:bCs/>
          <w:color w:val="auto"/>
          <w:sz w:val="24"/>
          <w:szCs w:val="24"/>
          <w:lang w:val="en-US" w:eastAsia="zh-CN"/>
        </w:rPr>
        <w:t>外包</w:t>
      </w:r>
      <w:r>
        <w:rPr>
          <w:rFonts w:hint="default" w:ascii="Times New Roman" w:hAnsi="Times New Roman" w:eastAsia="方正仿宋_GBK" w:cs="Times New Roman"/>
          <w:bCs/>
          <w:color w:val="auto"/>
          <w:sz w:val="24"/>
          <w:szCs w:val="24"/>
        </w:rPr>
        <w:t>服务合同。</w:t>
      </w:r>
    </w:p>
    <w:p w14:paraId="4D83D9CD">
      <w:pPr>
        <w:spacing w:line="360" w:lineRule="auto"/>
        <w:ind w:left="420" w:right="960"/>
        <w:jc w:val="center"/>
        <w:rPr>
          <w:rFonts w:asciiTheme="majorEastAsia" w:hAnsiTheme="majorEastAsia" w:eastAsiaTheme="majorEastAsia" w:cstheme="majorEastAsia"/>
          <w:b/>
          <w:color w:val="auto"/>
          <w:sz w:val="24"/>
          <w:szCs w:val="24"/>
        </w:rPr>
      </w:pPr>
      <w:r>
        <w:rPr>
          <w:rFonts w:hint="eastAsia" w:ascii="华文中宋" w:hAnsi="华文中宋" w:eastAsia="华文中宋" w:cs="仿宋"/>
          <w:b/>
          <w:color w:val="auto"/>
          <w:sz w:val="24"/>
          <w:szCs w:val="24"/>
        </w:rPr>
        <w:t xml:space="preserve"> </w:t>
      </w:r>
      <w:r>
        <w:rPr>
          <w:rFonts w:hint="eastAsia" w:asciiTheme="majorEastAsia" w:hAnsiTheme="majorEastAsia" w:eastAsiaTheme="majorEastAsia" w:cstheme="majorEastAsia"/>
          <w:b/>
          <w:color w:val="auto"/>
          <w:sz w:val="24"/>
          <w:szCs w:val="24"/>
        </w:rPr>
        <w:t xml:space="preserve"> </w:t>
      </w:r>
    </w:p>
    <w:p w14:paraId="7F256978">
      <w:pPr>
        <w:spacing w:line="360" w:lineRule="auto"/>
        <w:ind w:left="420" w:right="960"/>
        <w:jc w:val="center"/>
        <w:rPr>
          <w:rFonts w:hint="eastAsia" w:ascii="方正黑体_GBK" w:hAnsi="方正黑体_GBK" w:eastAsia="方正黑体_GBK" w:cs="方正黑体_GBK"/>
          <w:b/>
          <w:color w:val="auto"/>
          <w:sz w:val="32"/>
          <w:szCs w:val="32"/>
        </w:rPr>
      </w:pPr>
    </w:p>
    <w:p w14:paraId="270A3295">
      <w:pPr>
        <w:spacing w:line="360" w:lineRule="auto"/>
        <w:ind w:left="420" w:right="960"/>
        <w:jc w:val="center"/>
        <w:rPr>
          <w:rFonts w:hint="eastAsia" w:ascii="方正黑体_GBK" w:hAnsi="方正黑体_GBK" w:eastAsia="方正黑体_GBK" w:cs="方正黑体_GBK"/>
          <w:b/>
          <w:color w:val="auto"/>
          <w:sz w:val="32"/>
          <w:szCs w:val="32"/>
        </w:rPr>
      </w:pPr>
    </w:p>
    <w:p w14:paraId="665C4DFB">
      <w:pPr>
        <w:spacing w:line="360" w:lineRule="auto"/>
        <w:ind w:left="420" w:right="960"/>
        <w:jc w:val="center"/>
        <w:rPr>
          <w:rFonts w:hint="eastAsia" w:ascii="方正黑体_GBK" w:hAnsi="方正黑体_GBK" w:eastAsia="方正黑体_GBK" w:cs="方正黑体_GBK"/>
          <w:b/>
          <w:color w:val="auto"/>
          <w:sz w:val="32"/>
          <w:szCs w:val="32"/>
        </w:rPr>
      </w:pPr>
    </w:p>
    <w:p w14:paraId="48192FF9">
      <w:pPr>
        <w:spacing w:line="360" w:lineRule="auto"/>
        <w:ind w:left="420" w:right="960"/>
        <w:jc w:val="center"/>
        <w:rPr>
          <w:rFonts w:hint="eastAsia" w:ascii="方正黑体_GBK" w:hAnsi="方正黑体_GBK" w:eastAsia="方正黑体_GBK" w:cs="方正黑体_GBK"/>
          <w:b/>
          <w:color w:val="auto"/>
          <w:sz w:val="32"/>
          <w:szCs w:val="32"/>
        </w:rPr>
      </w:pPr>
    </w:p>
    <w:p w14:paraId="3540406E">
      <w:pPr>
        <w:spacing w:line="360" w:lineRule="auto"/>
        <w:ind w:left="420" w:right="960"/>
        <w:jc w:val="center"/>
        <w:rPr>
          <w:rFonts w:hint="eastAsia" w:ascii="方正黑体_GBK" w:hAnsi="方正黑体_GBK" w:eastAsia="方正黑体_GBK" w:cs="方正黑体_GBK"/>
          <w:b/>
          <w:color w:val="auto"/>
          <w:sz w:val="32"/>
          <w:szCs w:val="32"/>
        </w:rPr>
      </w:pPr>
    </w:p>
    <w:p w14:paraId="2C01DBCC">
      <w:pPr>
        <w:spacing w:line="360" w:lineRule="auto"/>
        <w:ind w:left="420" w:right="960"/>
        <w:jc w:val="center"/>
        <w:rPr>
          <w:rFonts w:hint="eastAsia" w:ascii="方正黑体_GBK" w:hAnsi="方正黑体_GBK" w:eastAsia="方正黑体_GBK" w:cs="方正黑体_GBK"/>
          <w:b/>
          <w:color w:val="auto"/>
          <w:sz w:val="32"/>
          <w:szCs w:val="32"/>
        </w:rPr>
      </w:pPr>
    </w:p>
    <w:p w14:paraId="06C2652C">
      <w:pPr>
        <w:spacing w:line="360" w:lineRule="auto"/>
        <w:ind w:left="420" w:right="960"/>
        <w:jc w:val="center"/>
        <w:rPr>
          <w:rFonts w:hint="eastAsia" w:ascii="方正黑体_GBK" w:hAnsi="方正黑体_GBK" w:eastAsia="方正黑体_GBK" w:cs="方正黑体_GBK"/>
          <w:b/>
          <w:color w:val="auto"/>
          <w:sz w:val="32"/>
          <w:szCs w:val="32"/>
        </w:rPr>
      </w:pPr>
    </w:p>
    <w:p w14:paraId="51B89C18">
      <w:pPr>
        <w:spacing w:line="360" w:lineRule="auto"/>
        <w:ind w:right="960"/>
        <w:jc w:val="center"/>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第三部分 竞标办法</w:t>
      </w:r>
    </w:p>
    <w:p w14:paraId="4BE31226">
      <w:pPr>
        <w:spacing w:line="360" w:lineRule="exact"/>
        <w:ind w:firstLine="480" w:firstLineChars="200"/>
        <w:rPr>
          <w:rFonts w:asciiTheme="minorEastAsia" w:hAnsiTheme="minorEastAsia" w:eastAsiaTheme="minorEastAsia" w:cstheme="minorEastAsia"/>
          <w:b/>
          <w:color w:val="auto"/>
          <w:sz w:val="24"/>
          <w:szCs w:val="24"/>
        </w:rPr>
      </w:pPr>
      <w:r>
        <w:rPr>
          <w:rFonts w:hint="eastAsia" w:ascii="方正黑体_GBK" w:hAnsi="方正黑体_GBK" w:eastAsia="方正黑体_GBK" w:cs="方正黑体_GBK"/>
          <w:b w:val="0"/>
          <w:bCs/>
          <w:color w:val="auto"/>
          <w:sz w:val="24"/>
          <w:szCs w:val="24"/>
        </w:rPr>
        <w:t>一、评标方法</w:t>
      </w:r>
    </w:p>
    <w:p w14:paraId="7B36E1FE">
      <w:pPr>
        <w:spacing w:line="360" w:lineRule="exact"/>
        <w:ind w:firstLine="482" w:firstLineChars="200"/>
        <w:rPr>
          <w:rFonts w:hint="eastAsia" w:ascii="方正楷体_GBK" w:hAnsi="方正楷体_GBK" w:eastAsia="方正楷体_GBK" w:cs="方正楷体_GBK"/>
          <w:b/>
          <w:bCs/>
          <w:color w:val="auto"/>
          <w:kern w:val="0"/>
          <w:sz w:val="24"/>
          <w:szCs w:val="24"/>
        </w:rPr>
      </w:pPr>
      <w:r>
        <w:rPr>
          <w:rFonts w:hint="eastAsia" w:ascii="方正楷体_GBK" w:hAnsi="方正楷体_GBK" w:eastAsia="方正楷体_GBK" w:cs="方正楷体_GBK"/>
          <w:b/>
          <w:bCs/>
          <w:color w:val="auto"/>
          <w:sz w:val="24"/>
          <w:szCs w:val="24"/>
        </w:rPr>
        <w:t>（一）评标方法定义</w:t>
      </w:r>
    </w:p>
    <w:p w14:paraId="74DBBD6E">
      <w:pPr>
        <w:spacing w:line="36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本项目采用综合评分法进行评标。综合评分法是指在最大限度满足</w:t>
      </w:r>
      <w:r>
        <w:rPr>
          <w:rFonts w:hint="eastAsia" w:ascii="方正仿宋_GBK" w:hAnsi="方正仿宋_GBK" w:eastAsia="方正仿宋_GBK" w:cs="方正仿宋_GBK"/>
          <w:color w:val="auto"/>
          <w:kern w:val="0"/>
          <w:sz w:val="24"/>
          <w:szCs w:val="24"/>
          <w:lang w:val="en-US" w:eastAsia="zh-CN"/>
        </w:rPr>
        <w:t>比选</w:t>
      </w:r>
      <w:r>
        <w:rPr>
          <w:rFonts w:hint="eastAsia" w:ascii="方正仿宋_GBK" w:hAnsi="方正仿宋_GBK" w:eastAsia="方正仿宋_GBK" w:cs="方正仿宋_GBK"/>
          <w:color w:val="auto"/>
          <w:kern w:val="0"/>
          <w:sz w:val="24"/>
          <w:szCs w:val="24"/>
        </w:rPr>
        <w:t>文件实质性要求前提下，按照招标文件中规定的各项评分因素进行综合评审后，以评标总得分最高的投标单位作为中标候选单位，经招标单位研究决定后确定最终中标单位。</w:t>
      </w:r>
    </w:p>
    <w:p w14:paraId="54A1C9E0">
      <w:pPr>
        <w:spacing w:line="360" w:lineRule="exact"/>
        <w:ind w:firstLine="482" w:firstLineChars="200"/>
        <w:rPr>
          <w:rFonts w:hint="eastAsia" w:ascii="方正楷体_GBK" w:hAnsi="方正楷体_GBK" w:eastAsia="方正楷体_GBK" w:cs="方正楷体_GBK"/>
          <w:b/>
          <w:bCs/>
          <w:color w:val="auto"/>
          <w:kern w:val="0"/>
          <w:sz w:val="24"/>
          <w:szCs w:val="24"/>
        </w:rPr>
      </w:pPr>
      <w:r>
        <w:rPr>
          <w:rFonts w:hint="eastAsia" w:ascii="方正楷体_GBK" w:hAnsi="方正楷体_GBK" w:eastAsia="方正楷体_GBK" w:cs="方正楷体_GBK"/>
          <w:b/>
          <w:bCs/>
          <w:color w:val="auto"/>
          <w:sz w:val="24"/>
          <w:szCs w:val="24"/>
        </w:rPr>
        <w:t>（二）评标程序</w:t>
      </w:r>
    </w:p>
    <w:p w14:paraId="1F79A56C">
      <w:pPr>
        <w:spacing w:line="360" w:lineRule="exact"/>
        <w:ind w:firstLine="480" w:firstLineChars="200"/>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评标工作由招标方负责组织，具体评标事务由招标方组建的评标小组负责。</w:t>
      </w:r>
    </w:p>
    <w:p w14:paraId="7F8657F5">
      <w:pPr>
        <w:spacing w:line="360" w:lineRule="exact"/>
        <w:ind w:firstLine="480" w:firstLineChars="200"/>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val="en-US" w:eastAsia="zh-CN"/>
        </w:rPr>
        <w:t>1.</w:t>
      </w:r>
      <w:r>
        <w:rPr>
          <w:rFonts w:hint="default" w:ascii="Times New Roman" w:hAnsi="Times New Roman" w:eastAsia="方正仿宋_GBK" w:cs="Times New Roman"/>
          <w:color w:val="auto"/>
          <w:kern w:val="0"/>
          <w:sz w:val="24"/>
          <w:szCs w:val="24"/>
        </w:rPr>
        <w:t>资格性检查。依据招标文件的规定，对投标文件中的资格证明等进行审查，以确定投标人是否具备投标资格。资格性检查资料表如下：</w:t>
      </w:r>
    </w:p>
    <w:tbl>
      <w:tblPr>
        <w:tblStyle w:val="1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92"/>
        <w:gridCol w:w="4164"/>
        <w:gridCol w:w="3864"/>
      </w:tblGrid>
      <w:tr w14:paraId="32E3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6" w:type="dxa"/>
            <w:vAlign w:val="center"/>
          </w:tcPr>
          <w:p w14:paraId="5625E069">
            <w:pPr>
              <w:spacing w:line="360" w:lineRule="exact"/>
              <w:ind w:left="-199" w:leftChars="-95" w:right="-84" w:rightChars="-4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序号</w:t>
            </w:r>
          </w:p>
        </w:tc>
        <w:tc>
          <w:tcPr>
            <w:tcW w:w="4956" w:type="dxa"/>
            <w:gridSpan w:val="2"/>
            <w:vAlign w:val="center"/>
          </w:tcPr>
          <w:p w14:paraId="6F5F1FB5">
            <w:pPr>
              <w:spacing w:line="360" w:lineRule="exact"/>
              <w:ind w:firstLine="1920" w:firstLineChars="800"/>
              <w:jc w:val="both"/>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检查因素</w:t>
            </w:r>
          </w:p>
        </w:tc>
        <w:tc>
          <w:tcPr>
            <w:tcW w:w="3864" w:type="dxa"/>
            <w:vAlign w:val="center"/>
          </w:tcPr>
          <w:p w14:paraId="195C91CB">
            <w:pPr>
              <w:spacing w:line="360" w:lineRule="exact"/>
              <w:ind w:firstLine="1200" w:firstLineChars="500"/>
              <w:jc w:val="both"/>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检查内容</w:t>
            </w:r>
          </w:p>
        </w:tc>
      </w:tr>
      <w:tr w14:paraId="4D03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656" w:type="dxa"/>
            <w:vMerge w:val="restart"/>
            <w:vAlign w:val="center"/>
          </w:tcPr>
          <w:p w14:paraId="3B7E79AE">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792" w:type="dxa"/>
            <w:vMerge w:val="restart"/>
            <w:textDirection w:val="tbLrV"/>
            <w:vAlign w:val="center"/>
          </w:tcPr>
          <w:p w14:paraId="784790C4">
            <w:pPr>
              <w:spacing w:line="360" w:lineRule="exact"/>
              <w:ind w:left="113" w:right="113"/>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投标人应符合的基本资格条件</w:t>
            </w:r>
          </w:p>
        </w:tc>
        <w:tc>
          <w:tcPr>
            <w:tcW w:w="4164" w:type="dxa"/>
            <w:vAlign w:val="center"/>
          </w:tcPr>
          <w:p w14:paraId="76F5868E">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（1）具有独立承担民事责任的能力</w:t>
            </w:r>
          </w:p>
        </w:tc>
        <w:tc>
          <w:tcPr>
            <w:tcW w:w="3864" w:type="dxa"/>
            <w:vAlign w:val="center"/>
          </w:tcPr>
          <w:p w14:paraId="539B92ED">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投标人法人营业执照</w:t>
            </w:r>
          </w:p>
          <w:p w14:paraId="4FE0A9D2">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投标人法定代表人身份证明和法定代表人授权代表委托书</w:t>
            </w:r>
          </w:p>
        </w:tc>
      </w:tr>
      <w:tr w14:paraId="4CC1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656" w:type="dxa"/>
            <w:vMerge w:val="continue"/>
            <w:vAlign w:val="center"/>
          </w:tcPr>
          <w:p w14:paraId="10AB160C">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792" w:type="dxa"/>
            <w:vMerge w:val="continue"/>
            <w:vAlign w:val="center"/>
          </w:tcPr>
          <w:p w14:paraId="305F332F">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4164" w:type="dxa"/>
            <w:vAlign w:val="center"/>
          </w:tcPr>
          <w:p w14:paraId="5B6C0D9B">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（2）具有履行合同所必须的专业能力</w:t>
            </w:r>
          </w:p>
        </w:tc>
        <w:tc>
          <w:tcPr>
            <w:tcW w:w="3864" w:type="dxa"/>
            <w:vMerge w:val="restart"/>
            <w:vAlign w:val="center"/>
          </w:tcPr>
          <w:p w14:paraId="254DCF5D">
            <w:pPr>
              <w:spacing w:line="360" w:lineRule="exact"/>
              <w:jc w:val="left"/>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bCs/>
                <w:color w:val="auto"/>
                <w:sz w:val="24"/>
                <w:szCs w:val="24"/>
                <w:lang w:val="en-US" w:eastAsia="zh-CN"/>
              </w:rPr>
              <w:t>具备电梯修理（维护保养）资质或电梯安装A1、A2、B级资质；未受到重大违法处罚证明材料。</w:t>
            </w:r>
          </w:p>
        </w:tc>
      </w:tr>
      <w:tr w14:paraId="0AE0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56" w:type="dxa"/>
            <w:vMerge w:val="continue"/>
            <w:vAlign w:val="center"/>
          </w:tcPr>
          <w:p w14:paraId="39FD7DA8">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792" w:type="dxa"/>
            <w:vMerge w:val="continue"/>
            <w:vAlign w:val="center"/>
          </w:tcPr>
          <w:p w14:paraId="2DFBDFA4">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4164" w:type="dxa"/>
            <w:vAlign w:val="center"/>
          </w:tcPr>
          <w:p w14:paraId="43F77751">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）近两年内，在经营活动中没有重大违法处罚记录</w:t>
            </w:r>
          </w:p>
        </w:tc>
        <w:tc>
          <w:tcPr>
            <w:tcW w:w="3864" w:type="dxa"/>
            <w:vMerge w:val="continue"/>
            <w:vAlign w:val="center"/>
          </w:tcPr>
          <w:p w14:paraId="2C8E53AD">
            <w:pPr>
              <w:spacing w:line="360" w:lineRule="exact"/>
              <w:ind w:firstLine="480" w:firstLineChars="200"/>
              <w:jc w:val="left"/>
              <w:rPr>
                <w:rFonts w:hint="default" w:ascii="Times New Roman" w:hAnsi="Times New Roman" w:eastAsia="方正仿宋_GBK" w:cs="Times New Roman"/>
                <w:color w:val="auto"/>
                <w:sz w:val="24"/>
                <w:szCs w:val="24"/>
              </w:rPr>
            </w:pPr>
          </w:p>
        </w:tc>
      </w:tr>
      <w:tr w14:paraId="32E4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56" w:type="dxa"/>
            <w:vAlign w:val="center"/>
          </w:tcPr>
          <w:p w14:paraId="5BE77CF9">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4956" w:type="dxa"/>
            <w:gridSpan w:val="2"/>
            <w:vAlign w:val="center"/>
          </w:tcPr>
          <w:p w14:paraId="12BB0214">
            <w:pPr>
              <w:spacing w:line="360" w:lineRule="exact"/>
              <w:ind w:firstLine="960" w:firstLineChars="40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特殊资格条件</w:t>
            </w:r>
          </w:p>
        </w:tc>
        <w:tc>
          <w:tcPr>
            <w:tcW w:w="3864" w:type="dxa"/>
            <w:vAlign w:val="center"/>
          </w:tcPr>
          <w:p w14:paraId="793EED09">
            <w:pPr>
              <w:spacing w:line="360" w:lineRule="exact"/>
              <w:ind w:firstLine="960" w:firstLineChars="40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证明材料</w:t>
            </w:r>
          </w:p>
        </w:tc>
      </w:tr>
    </w:tbl>
    <w:p w14:paraId="4C76EF97">
      <w:pPr>
        <w:tabs>
          <w:tab w:val="left" w:pos="7518"/>
        </w:tabs>
        <w:snapToGrid w:val="0"/>
        <w:spacing w:beforeLines="50" w:line="360" w:lineRule="exact"/>
        <w:ind w:firstLine="482" w:firstLineChars="200"/>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b/>
          <w:bCs/>
          <w:color w:val="auto"/>
          <w:sz w:val="24"/>
          <w:szCs w:val="24"/>
        </w:rPr>
        <w:t>注：所有资格性检查的证明材料复印件加盖投标人公章。</w:t>
      </w:r>
    </w:p>
    <w:p w14:paraId="34DDC466">
      <w:pPr>
        <w:pStyle w:val="7"/>
        <w:rPr>
          <w:color w:val="auto"/>
        </w:rPr>
      </w:pPr>
    </w:p>
    <w:p w14:paraId="2B4C3D4F">
      <w:pPr>
        <w:numPr>
          <w:ilvl w:val="0"/>
          <w:numId w:val="0"/>
        </w:numPr>
        <w:spacing w:line="360" w:lineRule="exact"/>
        <w:ind w:firstLine="480" w:firstLineChars="200"/>
        <w:rPr>
          <w:rFonts w:hint="default" w:ascii="Times New Roman" w:hAnsi="Times New Roman" w:eastAsia="方正仿宋_GBK" w:cs="Times New Roman"/>
          <w:color w:val="auto"/>
        </w:rPr>
      </w:pPr>
      <w:r>
        <w:rPr>
          <w:rFonts w:hint="eastAsia" w:ascii="Times New Roman" w:hAnsi="Times New Roman" w:eastAsia="方正仿宋_GBK" w:cs="Times New Roman"/>
          <w:color w:val="auto"/>
          <w:kern w:val="0"/>
          <w:sz w:val="24"/>
          <w:szCs w:val="24"/>
          <w:lang w:val="en-US" w:eastAsia="zh-CN"/>
        </w:rPr>
        <w:t>2.</w:t>
      </w:r>
      <w:r>
        <w:rPr>
          <w:rFonts w:hint="default" w:ascii="Times New Roman" w:hAnsi="Times New Roman" w:eastAsia="方正仿宋_GBK" w:cs="Times New Roman"/>
          <w:color w:val="auto"/>
          <w:kern w:val="0"/>
          <w:sz w:val="24"/>
          <w:szCs w:val="24"/>
        </w:rPr>
        <w:t>符合性检查。依据招标文件的规定，从投标文件的有效性、完整性和对招标文件的响应程度进行审查，以确定是否对招标文件的实质性要求作出响应。符合性检查资料表如下：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71"/>
        <w:gridCol w:w="2283"/>
        <w:gridCol w:w="5558"/>
      </w:tblGrid>
      <w:tr w14:paraId="45B1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4" w:type="dxa"/>
            <w:vAlign w:val="center"/>
          </w:tcPr>
          <w:p w14:paraId="05422F37">
            <w:pPr>
              <w:spacing w:line="36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序号</w:t>
            </w:r>
          </w:p>
        </w:tc>
        <w:tc>
          <w:tcPr>
            <w:tcW w:w="3154" w:type="dxa"/>
            <w:gridSpan w:val="2"/>
            <w:vAlign w:val="center"/>
          </w:tcPr>
          <w:p w14:paraId="359C3EA0">
            <w:pPr>
              <w:spacing w:line="360" w:lineRule="exact"/>
              <w:ind w:firstLine="480" w:firstLineChars="20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评审因素</w:t>
            </w:r>
          </w:p>
        </w:tc>
        <w:tc>
          <w:tcPr>
            <w:tcW w:w="5558" w:type="dxa"/>
            <w:vAlign w:val="center"/>
          </w:tcPr>
          <w:p w14:paraId="16F5FB60">
            <w:pPr>
              <w:spacing w:line="360" w:lineRule="exact"/>
              <w:ind w:firstLine="480" w:firstLineChars="20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评审标准</w:t>
            </w:r>
          </w:p>
        </w:tc>
      </w:tr>
      <w:tr w14:paraId="121B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4" w:type="dxa"/>
            <w:vMerge w:val="restart"/>
            <w:vAlign w:val="center"/>
          </w:tcPr>
          <w:p w14:paraId="359D3F0B">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871" w:type="dxa"/>
            <w:vMerge w:val="restart"/>
            <w:textDirection w:val="tbLrV"/>
            <w:vAlign w:val="center"/>
          </w:tcPr>
          <w:p w14:paraId="7223710F">
            <w:pPr>
              <w:spacing w:line="360" w:lineRule="exact"/>
              <w:ind w:left="113" w:right="113"/>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有效性审查</w:t>
            </w:r>
          </w:p>
        </w:tc>
        <w:tc>
          <w:tcPr>
            <w:tcW w:w="2283" w:type="dxa"/>
            <w:vAlign w:val="center"/>
          </w:tcPr>
          <w:p w14:paraId="7C87DB4E">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投标文件签署</w:t>
            </w:r>
          </w:p>
        </w:tc>
        <w:tc>
          <w:tcPr>
            <w:tcW w:w="5558" w:type="dxa"/>
            <w:vAlign w:val="center"/>
          </w:tcPr>
          <w:p w14:paraId="7159D93D">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投标文件上法定代表人或其授权代表人的签字齐全。</w:t>
            </w:r>
          </w:p>
        </w:tc>
      </w:tr>
      <w:tr w14:paraId="5660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44" w:type="dxa"/>
            <w:vMerge w:val="continue"/>
            <w:vAlign w:val="center"/>
          </w:tcPr>
          <w:p w14:paraId="0DC5E856">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871" w:type="dxa"/>
            <w:vMerge w:val="continue"/>
            <w:textDirection w:val="tbLrV"/>
            <w:vAlign w:val="center"/>
          </w:tcPr>
          <w:p w14:paraId="19B0E51D">
            <w:pPr>
              <w:spacing w:line="360" w:lineRule="exact"/>
              <w:ind w:left="113" w:right="113" w:firstLine="480" w:firstLineChars="200"/>
              <w:jc w:val="center"/>
              <w:rPr>
                <w:rFonts w:hint="default" w:ascii="Times New Roman" w:hAnsi="Times New Roman" w:eastAsia="方正仿宋_GBK" w:cs="Times New Roman"/>
                <w:color w:val="auto"/>
                <w:sz w:val="24"/>
                <w:szCs w:val="24"/>
              </w:rPr>
            </w:pPr>
          </w:p>
        </w:tc>
        <w:tc>
          <w:tcPr>
            <w:tcW w:w="2283" w:type="dxa"/>
            <w:vAlign w:val="center"/>
          </w:tcPr>
          <w:p w14:paraId="67D4C1D0">
            <w:pPr>
              <w:spacing w:line="360" w:lineRule="exact"/>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法定代表人身份证明及授权委托书</w:t>
            </w:r>
          </w:p>
        </w:tc>
        <w:tc>
          <w:tcPr>
            <w:tcW w:w="5558" w:type="dxa"/>
            <w:vAlign w:val="center"/>
          </w:tcPr>
          <w:p w14:paraId="482AC6C1">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法定代表人身份证明及授权委托书有效，符合</w:t>
            </w:r>
            <w:r>
              <w:rPr>
                <w:rFonts w:hint="eastAsia" w:ascii="Times New Roman" w:hAnsi="Times New Roman" w:eastAsia="方正仿宋_GBK" w:cs="Times New Roman"/>
                <w:color w:val="auto"/>
                <w:sz w:val="24"/>
                <w:szCs w:val="24"/>
                <w:lang w:val="en-US" w:eastAsia="zh-CN"/>
              </w:rPr>
              <w:t>比选</w:t>
            </w:r>
            <w:r>
              <w:rPr>
                <w:rFonts w:hint="default" w:ascii="Times New Roman" w:hAnsi="Times New Roman" w:eastAsia="方正仿宋_GBK" w:cs="Times New Roman"/>
                <w:color w:val="auto"/>
                <w:sz w:val="24"/>
                <w:szCs w:val="24"/>
              </w:rPr>
              <w:t>文件规定的格式。</w:t>
            </w:r>
          </w:p>
        </w:tc>
      </w:tr>
      <w:tr w14:paraId="0881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 w:type="dxa"/>
            <w:vMerge w:val="continue"/>
            <w:vAlign w:val="center"/>
          </w:tcPr>
          <w:p w14:paraId="7FB2151C">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871" w:type="dxa"/>
            <w:vMerge w:val="continue"/>
            <w:textDirection w:val="tbLrV"/>
            <w:vAlign w:val="center"/>
          </w:tcPr>
          <w:p w14:paraId="49698BE1">
            <w:pPr>
              <w:spacing w:line="360" w:lineRule="exact"/>
              <w:ind w:left="113" w:right="113" w:firstLine="480" w:firstLineChars="200"/>
              <w:jc w:val="center"/>
              <w:rPr>
                <w:rFonts w:hint="default" w:ascii="Times New Roman" w:hAnsi="Times New Roman" w:eastAsia="方正仿宋_GBK" w:cs="Times New Roman"/>
                <w:color w:val="auto"/>
                <w:sz w:val="24"/>
                <w:szCs w:val="24"/>
              </w:rPr>
            </w:pPr>
          </w:p>
        </w:tc>
        <w:tc>
          <w:tcPr>
            <w:tcW w:w="2283" w:type="dxa"/>
            <w:vAlign w:val="center"/>
          </w:tcPr>
          <w:p w14:paraId="4988F073">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报价唯一</w:t>
            </w:r>
          </w:p>
        </w:tc>
        <w:tc>
          <w:tcPr>
            <w:tcW w:w="5558" w:type="dxa"/>
            <w:vAlign w:val="center"/>
          </w:tcPr>
          <w:p w14:paraId="7971BE3C">
            <w:pPr>
              <w:tabs>
                <w:tab w:val="left" w:pos="1050"/>
              </w:tabs>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投标文件上只能有一个有效报价</w:t>
            </w:r>
            <w:r>
              <w:rPr>
                <w:rFonts w:hint="eastAsia" w:ascii="Times New Roman" w:hAnsi="Times New Roman" w:eastAsia="方正仿宋_GBK" w:cs="Times New Roman"/>
                <w:color w:val="auto"/>
                <w:sz w:val="24"/>
                <w:szCs w:val="24"/>
                <w:lang w:eastAsia="zh-CN"/>
              </w:rPr>
              <w:t>，且不超过最高限价</w:t>
            </w:r>
            <w:r>
              <w:rPr>
                <w:rFonts w:hint="default" w:ascii="Times New Roman" w:hAnsi="Times New Roman" w:eastAsia="方正仿宋_GBK" w:cs="Times New Roman"/>
                <w:color w:val="auto"/>
                <w:sz w:val="24"/>
                <w:szCs w:val="24"/>
              </w:rPr>
              <w:t>。</w:t>
            </w:r>
          </w:p>
        </w:tc>
      </w:tr>
      <w:tr w14:paraId="662E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4" w:type="dxa"/>
            <w:vMerge w:val="restart"/>
            <w:vAlign w:val="center"/>
          </w:tcPr>
          <w:p w14:paraId="792E3B88">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871" w:type="dxa"/>
            <w:vMerge w:val="restart"/>
            <w:textDirection w:val="tbLrV"/>
            <w:vAlign w:val="center"/>
          </w:tcPr>
          <w:p w14:paraId="69196AC3">
            <w:pPr>
              <w:spacing w:line="360" w:lineRule="exact"/>
              <w:ind w:left="113" w:right="113"/>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完整性审查</w:t>
            </w:r>
          </w:p>
        </w:tc>
        <w:tc>
          <w:tcPr>
            <w:tcW w:w="2283" w:type="dxa"/>
            <w:vAlign w:val="center"/>
          </w:tcPr>
          <w:p w14:paraId="73D769CA">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投标文件份数</w:t>
            </w:r>
          </w:p>
        </w:tc>
        <w:tc>
          <w:tcPr>
            <w:tcW w:w="5558" w:type="dxa"/>
            <w:vAlign w:val="center"/>
          </w:tcPr>
          <w:p w14:paraId="58DD497A">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投标文件数量符合招标文件要求。</w:t>
            </w:r>
          </w:p>
        </w:tc>
      </w:tr>
      <w:tr w14:paraId="756A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44" w:type="dxa"/>
            <w:vMerge w:val="continue"/>
            <w:vAlign w:val="center"/>
          </w:tcPr>
          <w:p w14:paraId="1B6446EE">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871" w:type="dxa"/>
            <w:vMerge w:val="continue"/>
            <w:vAlign w:val="center"/>
          </w:tcPr>
          <w:p w14:paraId="7E1E7C4F">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2283" w:type="dxa"/>
            <w:vAlign w:val="center"/>
          </w:tcPr>
          <w:p w14:paraId="5D2A2047">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投标文件内容</w:t>
            </w:r>
          </w:p>
        </w:tc>
        <w:tc>
          <w:tcPr>
            <w:tcW w:w="5558" w:type="dxa"/>
            <w:vAlign w:val="center"/>
          </w:tcPr>
          <w:p w14:paraId="0D580AC1">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投标文件内容齐全。</w:t>
            </w:r>
          </w:p>
        </w:tc>
      </w:tr>
      <w:tr w14:paraId="0C7F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4" w:type="dxa"/>
            <w:vMerge w:val="restart"/>
            <w:vAlign w:val="center"/>
          </w:tcPr>
          <w:p w14:paraId="4F6D6B85">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p>
        </w:tc>
        <w:tc>
          <w:tcPr>
            <w:tcW w:w="871" w:type="dxa"/>
            <w:vMerge w:val="restart"/>
            <w:textDirection w:val="tbLrV"/>
            <w:vAlign w:val="center"/>
          </w:tcPr>
          <w:p w14:paraId="0C716FE0">
            <w:pPr>
              <w:spacing w:line="360" w:lineRule="exact"/>
              <w:ind w:left="113" w:right="113"/>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招标文件的响应程度审查</w:t>
            </w:r>
          </w:p>
        </w:tc>
        <w:tc>
          <w:tcPr>
            <w:tcW w:w="2283" w:type="dxa"/>
            <w:vAlign w:val="center"/>
          </w:tcPr>
          <w:p w14:paraId="3650B035">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投标文件内容</w:t>
            </w:r>
          </w:p>
        </w:tc>
        <w:tc>
          <w:tcPr>
            <w:tcW w:w="5558" w:type="dxa"/>
            <w:vAlign w:val="center"/>
          </w:tcPr>
          <w:p w14:paraId="62E09FFF">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对</w:t>
            </w:r>
            <w:r>
              <w:rPr>
                <w:rFonts w:hint="eastAsia" w:ascii="Times New Roman" w:hAnsi="Times New Roman" w:eastAsia="方正仿宋_GBK" w:cs="Times New Roman"/>
                <w:color w:val="auto"/>
                <w:sz w:val="24"/>
                <w:szCs w:val="24"/>
                <w:lang w:val="en-US" w:eastAsia="zh-CN"/>
              </w:rPr>
              <w:t>比选</w:t>
            </w:r>
            <w:r>
              <w:rPr>
                <w:rFonts w:hint="default" w:ascii="Times New Roman" w:hAnsi="Times New Roman" w:eastAsia="方正仿宋_GBK" w:cs="Times New Roman"/>
                <w:color w:val="auto"/>
                <w:sz w:val="24"/>
                <w:szCs w:val="24"/>
              </w:rPr>
              <w:t>文件规定的招标内容全部作出响应。</w:t>
            </w:r>
          </w:p>
        </w:tc>
      </w:tr>
      <w:tr w14:paraId="4B1E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44" w:type="dxa"/>
            <w:vMerge w:val="continue"/>
            <w:vAlign w:val="center"/>
          </w:tcPr>
          <w:p w14:paraId="47F50E6A">
            <w:pPr>
              <w:spacing w:line="360" w:lineRule="exact"/>
              <w:ind w:firstLine="480" w:firstLineChars="200"/>
              <w:rPr>
                <w:rFonts w:hint="default" w:ascii="Times New Roman" w:hAnsi="Times New Roman" w:eastAsia="方正仿宋_GBK" w:cs="Times New Roman"/>
                <w:color w:val="auto"/>
                <w:sz w:val="24"/>
                <w:szCs w:val="24"/>
              </w:rPr>
            </w:pPr>
          </w:p>
        </w:tc>
        <w:tc>
          <w:tcPr>
            <w:tcW w:w="871" w:type="dxa"/>
            <w:vMerge w:val="continue"/>
            <w:vAlign w:val="center"/>
          </w:tcPr>
          <w:p w14:paraId="298D98BD">
            <w:pPr>
              <w:spacing w:line="360" w:lineRule="exact"/>
              <w:ind w:firstLine="480" w:firstLineChars="200"/>
              <w:rPr>
                <w:rFonts w:hint="default" w:ascii="Times New Roman" w:hAnsi="Times New Roman" w:eastAsia="方正仿宋_GBK" w:cs="Times New Roman"/>
                <w:color w:val="auto"/>
                <w:sz w:val="24"/>
                <w:szCs w:val="24"/>
              </w:rPr>
            </w:pPr>
          </w:p>
        </w:tc>
        <w:tc>
          <w:tcPr>
            <w:tcW w:w="2283" w:type="dxa"/>
            <w:vAlign w:val="center"/>
          </w:tcPr>
          <w:p w14:paraId="319C33D3">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投标有效期</w:t>
            </w:r>
          </w:p>
        </w:tc>
        <w:tc>
          <w:tcPr>
            <w:tcW w:w="5558" w:type="dxa"/>
            <w:vAlign w:val="center"/>
          </w:tcPr>
          <w:p w14:paraId="511B6B65">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满足</w:t>
            </w:r>
            <w:r>
              <w:rPr>
                <w:rFonts w:hint="eastAsia" w:ascii="Times New Roman" w:hAnsi="Times New Roman" w:eastAsia="方正仿宋_GBK" w:cs="Times New Roman"/>
                <w:color w:val="auto"/>
                <w:sz w:val="24"/>
                <w:szCs w:val="24"/>
                <w:lang w:val="en-US" w:eastAsia="zh-CN"/>
              </w:rPr>
              <w:t>比选</w:t>
            </w:r>
            <w:r>
              <w:rPr>
                <w:rFonts w:hint="default" w:ascii="Times New Roman" w:hAnsi="Times New Roman" w:eastAsia="方正仿宋_GBK" w:cs="Times New Roman"/>
                <w:color w:val="auto"/>
                <w:sz w:val="24"/>
                <w:szCs w:val="24"/>
              </w:rPr>
              <w:t>文件规定。</w:t>
            </w:r>
          </w:p>
        </w:tc>
      </w:tr>
    </w:tbl>
    <w:p w14:paraId="3B979FAA">
      <w:pPr>
        <w:spacing w:line="360" w:lineRule="exact"/>
        <w:rPr>
          <w:rFonts w:hint="eastAsia" w:asciiTheme="minorEastAsia" w:hAnsiTheme="minorEastAsia" w:eastAsiaTheme="minorEastAsia" w:cstheme="minorEastAsia"/>
          <w:b/>
          <w:color w:val="auto"/>
          <w:kern w:val="0"/>
          <w:sz w:val="24"/>
          <w:szCs w:val="24"/>
        </w:rPr>
      </w:pPr>
    </w:p>
    <w:p w14:paraId="388DD433">
      <w:pPr>
        <w:spacing w:line="360" w:lineRule="exact"/>
        <w:ind w:firstLine="482" w:firstLineChars="200"/>
        <w:rPr>
          <w:rFonts w:asciiTheme="minorEastAsia" w:hAnsiTheme="minorEastAsia" w:eastAsiaTheme="minorEastAsia" w:cstheme="minorEastAsia"/>
          <w:b/>
          <w:color w:val="auto"/>
          <w:kern w:val="0"/>
          <w:sz w:val="24"/>
          <w:szCs w:val="24"/>
        </w:rPr>
      </w:pPr>
      <w:r>
        <w:rPr>
          <w:rFonts w:hint="eastAsia" w:ascii="方正黑体_GBK" w:hAnsi="方正黑体_GBK" w:eastAsia="方正黑体_GBK" w:cs="方正黑体_GBK"/>
          <w:b/>
          <w:color w:val="auto"/>
          <w:kern w:val="0"/>
          <w:sz w:val="24"/>
          <w:szCs w:val="24"/>
        </w:rPr>
        <w:t>二、评分标准</w:t>
      </w:r>
    </w:p>
    <w:tbl>
      <w:tblPr>
        <w:tblStyle w:val="16"/>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8"/>
        <w:gridCol w:w="3880"/>
        <w:gridCol w:w="1638"/>
        <w:gridCol w:w="708"/>
        <w:gridCol w:w="1089"/>
      </w:tblGrid>
      <w:tr w14:paraId="6675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09" w:type="dxa"/>
            <w:vAlign w:val="center"/>
          </w:tcPr>
          <w:p w14:paraId="6275AA12">
            <w:pPr>
              <w:widowControl/>
              <w:spacing w:line="36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sz w:val="24"/>
                <w:szCs w:val="24"/>
              </w:rPr>
              <w:t>评分说明</w:t>
            </w:r>
          </w:p>
        </w:tc>
        <w:tc>
          <w:tcPr>
            <w:tcW w:w="8743" w:type="dxa"/>
            <w:gridSpan w:val="5"/>
            <w:vAlign w:val="center"/>
          </w:tcPr>
          <w:p w14:paraId="296FD75A">
            <w:pPr>
              <w:widowControl/>
              <w:spacing w:line="360" w:lineRule="exact"/>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sz w:val="24"/>
                <w:szCs w:val="24"/>
              </w:rPr>
              <w:t>评分标准：以经济标、技术标、现场回答的综合总分最高分为评分标准。</w:t>
            </w:r>
          </w:p>
        </w:tc>
      </w:tr>
      <w:tr w14:paraId="251A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vAlign w:val="center"/>
          </w:tcPr>
          <w:p w14:paraId="2954E509">
            <w:pPr>
              <w:widowControl/>
              <w:spacing w:line="36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序号</w:t>
            </w:r>
          </w:p>
        </w:tc>
        <w:tc>
          <w:tcPr>
            <w:tcW w:w="6946" w:type="dxa"/>
            <w:gridSpan w:val="3"/>
            <w:vAlign w:val="center"/>
          </w:tcPr>
          <w:p w14:paraId="41477D66">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考核项目及考核要点</w:t>
            </w:r>
          </w:p>
        </w:tc>
        <w:tc>
          <w:tcPr>
            <w:tcW w:w="1797" w:type="dxa"/>
            <w:gridSpan w:val="2"/>
            <w:vAlign w:val="center"/>
          </w:tcPr>
          <w:p w14:paraId="39930E10">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评分标准分数</w:t>
            </w:r>
          </w:p>
        </w:tc>
      </w:tr>
      <w:tr w14:paraId="5557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09" w:type="dxa"/>
            <w:vAlign w:val="center"/>
          </w:tcPr>
          <w:p w14:paraId="1A27E8A4">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428" w:type="dxa"/>
            <w:tcBorders>
              <w:bottom w:val="single" w:color="auto" w:sz="4" w:space="0"/>
            </w:tcBorders>
            <w:vAlign w:val="center"/>
          </w:tcPr>
          <w:p w14:paraId="1D07FF0F">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经济标（投标报价</w:t>
            </w:r>
            <w:r>
              <w:rPr>
                <w:rFonts w:hint="eastAsia" w:ascii="Times New Roman" w:hAnsi="Times New Roman" w:eastAsia="方正仿宋_GBK" w:cs="Times New Roman"/>
                <w:color w:val="auto"/>
                <w:sz w:val="24"/>
                <w:szCs w:val="24"/>
                <w:lang w:val="en-US" w:eastAsia="zh-CN"/>
              </w:rPr>
              <w:t>70</w:t>
            </w:r>
            <w:r>
              <w:rPr>
                <w:rFonts w:hint="default" w:ascii="Times New Roman" w:hAnsi="Times New Roman" w:eastAsia="方正仿宋_GBK" w:cs="Times New Roman"/>
                <w:color w:val="auto"/>
                <w:sz w:val="24"/>
                <w:szCs w:val="24"/>
              </w:rPr>
              <w:t>分）</w:t>
            </w:r>
          </w:p>
        </w:tc>
        <w:tc>
          <w:tcPr>
            <w:tcW w:w="5518" w:type="dxa"/>
            <w:gridSpan w:val="2"/>
            <w:tcBorders>
              <w:bottom w:val="nil"/>
            </w:tcBorders>
            <w:vAlign w:val="center"/>
          </w:tcPr>
          <w:p w14:paraId="0D227CFC">
            <w:pPr>
              <w:spacing w:line="360" w:lineRule="exact"/>
              <w:jc w:val="left"/>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投标报</w:t>
            </w:r>
            <w:r>
              <w:rPr>
                <w:rFonts w:hint="default" w:ascii="Times New Roman" w:hAnsi="Times New Roman" w:eastAsia="方正仿宋_GBK" w:cs="Times New Roman"/>
                <w:color w:val="auto"/>
                <w:sz w:val="24"/>
                <w:szCs w:val="24"/>
              </w:rPr>
              <w:t>价得分=（投标基准价/有效投标报价）</w:t>
            </w:r>
            <w:r>
              <w:rPr>
                <w:rFonts w:hint="eastAsia" w:ascii="Times New Roman" w:hAnsi="Times New Roman" w:eastAsia="方正仿宋_GBK" w:cs="Times New Roman"/>
                <w:color w:val="auto"/>
                <w:sz w:val="24"/>
                <w:szCs w:val="24"/>
                <w:lang w:val="en-US" w:eastAsia="zh-CN"/>
              </w:rPr>
              <w:t>×70</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最高不超过70分</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注：</w:t>
            </w:r>
            <w:r>
              <w:rPr>
                <w:rFonts w:hint="eastAsia" w:ascii="Times New Roman" w:hAnsi="Times New Roman" w:eastAsia="方正仿宋_GBK" w:cs="Times New Roman"/>
                <w:color w:val="auto"/>
                <w:sz w:val="24"/>
                <w:szCs w:val="24"/>
                <w:lang w:eastAsia="zh-CN"/>
              </w:rPr>
              <w:t>投标基准价为有效投标报价人最低报价；</w:t>
            </w:r>
            <w:r>
              <w:rPr>
                <w:rFonts w:hint="eastAsia" w:ascii="Times New Roman" w:hAnsi="Times New Roman" w:eastAsia="方正仿宋_GBK" w:cs="Times New Roman"/>
                <w:color w:val="auto"/>
                <w:sz w:val="24"/>
                <w:szCs w:val="24"/>
                <w:lang w:val="en-US" w:eastAsia="zh-CN"/>
              </w:rPr>
              <w:t>本项得分最高不超过70分</w:t>
            </w:r>
            <w:r>
              <w:rPr>
                <w:rFonts w:hint="default" w:ascii="Times New Roman" w:hAnsi="Times New Roman" w:eastAsia="方正仿宋_GBK" w:cs="Times New Roman"/>
                <w:color w:val="auto"/>
                <w:sz w:val="24"/>
                <w:szCs w:val="24"/>
              </w:rPr>
              <w:t>。</w:t>
            </w:r>
          </w:p>
        </w:tc>
        <w:tc>
          <w:tcPr>
            <w:tcW w:w="708" w:type="dxa"/>
            <w:vAlign w:val="center"/>
          </w:tcPr>
          <w:p w14:paraId="7698CB58">
            <w:pPr>
              <w:spacing w:line="36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70</w:t>
            </w:r>
          </w:p>
        </w:tc>
        <w:tc>
          <w:tcPr>
            <w:tcW w:w="1089" w:type="dxa"/>
            <w:vAlign w:val="center"/>
          </w:tcPr>
          <w:p w14:paraId="26BCE794">
            <w:pPr>
              <w:spacing w:line="360" w:lineRule="exact"/>
              <w:jc w:val="center"/>
              <w:rPr>
                <w:rFonts w:hint="default" w:ascii="Times New Roman" w:hAnsi="Times New Roman" w:eastAsia="方正仿宋_GBK" w:cs="Times New Roman"/>
                <w:color w:val="auto"/>
                <w:sz w:val="24"/>
                <w:szCs w:val="24"/>
              </w:rPr>
            </w:pPr>
          </w:p>
        </w:tc>
      </w:tr>
      <w:tr w14:paraId="79EA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restart"/>
            <w:vAlign w:val="center"/>
          </w:tcPr>
          <w:p w14:paraId="0D5FBA96">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1428" w:type="dxa"/>
            <w:vMerge w:val="restart"/>
            <w:vAlign w:val="center"/>
          </w:tcPr>
          <w:p w14:paraId="568CCB9E">
            <w:pPr>
              <w:widowControl/>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技术标</w:t>
            </w:r>
          </w:p>
          <w:p w14:paraId="108114AF">
            <w:pPr>
              <w:widowControl/>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20</w:t>
            </w:r>
            <w:r>
              <w:rPr>
                <w:rFonts w:hint="default" w:ascii="Times New Roman" w:hAnsi="Times New Roman" w:eastAsia="方正仿宋_GBK" w:cs="Times New Roman"/>
                <w:color w:val="auto"/>
                <w:sz w:val="24"/>
                <w:szCs w:val="24"/>
              </w:rPr>
              <w:t>分）</w:t>
            </w:r>
          </w:p>
        </w:tc>
        <w:tc>
          <w:tcPr>
            <w:tcW w:w="5518" w:type="dxa"/>
            <w:gridSpan w:val="2"/>
            <w:tcBorders>
              <w:top w:val="single" w:color="auto" w:sz="4" w:space="0"/>
            </w:tcBorders>
            <w:vAlign w:val="center"/>
          </w:tcPr>
          <w:p w14:paraId="39E8374F">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服务人员的配备、</w:t>
            </w:r>
            <w:r>
              <w:rPr>
                <w:rFonts w:hint="eastAsia" w:ascii="Times New Roman" w:hAnsi="Times New Roman" w:eastAsia="方正仿宋_GBK" w:cs="Times New Roman"/>
                <w:color w:val="auto"/>
                <w:sz w:val="24"/>
                <w:szCs w:val="24"/>
                <w:lang w:val="en-US" w:eastAsia="zh-CN"/>
              </w:rPr>
              <w:t>技能</w:t>
            </w:r>
            <w:r>
              <w:rPr>
                <w:rFonts w:hint="default" w:ascii="Times New Roman" w:hAnsi="Times New Roman" w:eastAsia="方正仿宋_GBK" w:cs="Times New Roman"/>
                <w:color w:val="auto"/>
                <w:sz w:val="24"/>
                <w:szCs w:val="24"/>
              </w:rPr>
              <w:t>培训、管理（</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w:t>
            </w:r>
          </w:p>
        </w:tc>
        <w:tc>
          <w:tcPr>
            <w:tcW w:w="708" w:type="dxa"/>
            <w:vMerge w:val="restart"/>
            <w:vAlign w:val="center"/>
          </w:tcPr>
          <w:p w14:paraId="2E0F5E37">
            <w:pPr>
              <w:spacing w:line="360" w:lineRule="exact"/>
              <w:jc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20</w:t>
            </w:r>
          </w:p>
        </w:tc>
        <w:tc>
          <w:tcPr>
            <w:tcW w:w="1089" w:type="dxa"/>
            <w:vAlign w:val="center"/>
          </w:tcPr>
          <w:p w14:paraId="20857F63">
            <w:pPr>
              <w:spacing w:line="360" w:lineRule="exact"/>
              <w:jc w:val="center"/>
              <w:rPr>
                <w:rFonts w:hint="default" w:ascii="Times New Roman" w:hAnsi="Times New Roman" w:eastAsia="方正仿宋_GBK" w:cs="Times New Roman"/>
                <w:color w:val="auto"/>
                <w:sz w:val="24"/>
                <w:szCs w:val="24"/>
              </w:rPr>
            </w:pPr>
          </w:p>
        </w:tc>
      </w:tr>
      <w:tr w14:paraId="7426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continue"/>
            <w:vAlign w:val="center"/>
          </w:tcPr>
          <w:p w14:paraId="6AEE5F5B">
            <w:pPr>
              <w:spacing w:line="360" w:lineRule="exact"/>
              <w:jc w:val="center"/>
              <w:rPr>
                <w:rFonts w:hint="default" w:ascii="Times New Roman" w:hAnsi="Times New Roman" w:eastAsia="方正仿宋_GBK" w:cs="Times New Roman"/>
                <w:color w:val="auto"/>
                <w:sz w:val="24"/>
                <w:szCs w:val="24"/>
              </w:rPr>
            </w:pPr>
          </w:p>
        </w:tc>
        <w:tc>
          <w:tcPr>
            <w:tcW w:w="1428" w:type="dxa"/>
            <w:vMerge w:val="continue"/>
            <w:vAlign w:val="center"/>
          </w:tcPr>
          <w:p w14:paraId="56DC6752">
            <w:pPr>
              <w:widowControl/>
              <w:spacing w:line="360" w:lineRule="exact"/>
              <w:jc w:val="center"/>
              <w:rPr>
                <w:rFonts w:hint="default" w:ascii="Times New Roman" w:hAnsi="Times New Roman" w:eastAsia="方正仿宋_GBK" w:cs="Times New Roman"/>
                <w:color w:val="auto"/>
                <w:sz w:val="24"/>
                <w:szCs w:val="24"/>
              </w:rPr>
            </w:pPr>
          </w:p>
        </w:tc>
        <w:tc>
          <w:tcPr>
            <w:tcW w:w="5518" w:type="dxa"/>
            <w:gridSpan w:val="2"/>
            <w:tcBorders>
              <w:top w:val="single" w:color="auto" w:sz="4" w:space="0"/>
            </w:tcBorders>
            <w:vAlign w:val="center"/>
          </w:tcPr>
          <w:p w14:paraId="2D881D9D">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服务水平的整体设想和策划（</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w:t>
            </w:r>
          </w:p>
        </w:tc>
        <w:tc>
          <w:tcPr>
            <w:tcW w:w="708" w:type="dxa"/>
            <w:vMerge w:val="continue"/>
            <w:vAlign w:val="center"/>
          </w:tcPr>
          <w:p w14:paraId="064B4D8C">
            <w:pPr>
              <w:spacing w:line="360" w:lineRule="exact"/>
              <w:jc w:val="center"/>
              <w:rPr>
                <w:rFonts w:hint="default" w:ascii="Times New Roman" w:hAnsi="Times New Roman" w:eastAsia="方正仿宋_GBK" w:cs="Times New Roman"/>
                <w:color w:val="auto"/>
                <w:sz w:val="24"/>
                <w:szCs w:val="24"/>
              </w:rPr>
            </w:pPr>
          </w:p>
        </w:tc>
        <w:tc>
          <w:tcPr>
            <w:tcW w:w="1089" w:type="dxa"/>
            <w:vAlign w:val="center"/>
          </w:tcPr>
          <w:p w14:paraId="642E8591">
            <w:pPr>
              <w:spacing w:line="360" w:lineRule="exact"/>
              <w:jc w:val="center"/>
              <w:rPr>
                <w:rFonts w:hint="default" w:ascii="Times New Roman" w:hAnsi="Times New Roman" w:eastAsia="方正仿宋_GBK" w:cs="Times New Roman"/>
                <w:color w:val="auto"/>
                <w:sz w:val="24"/>
                <w:szCs w:val="24"/>
              </w:rPr>
            </w:pPr>
          </w:p>
        </w:tc>
      </w:tr>
      <w:tr w14:paraId="5D3D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continue"/>
            <w:vAlign w:val="center"/>
          </w:tcPr>
          <w:p w14:paraId="65FADB3F">
            <w:pPr>
              <w:spacing w:line="360" w:lineRule="exact"/>
              <w:jc w:val="center"/>
              <w:rPr>
                <w:rFonts w:hint="default" w:ascii="Times New Roman" w:hAnsi="Times New Roman" w:eastAsia="方正仿宋_GBK" w:cs="Times New Roman"/>
                <w:color w:val="auto"/>
                <w:sz w:val="24"/>
                <w:szCs w:val="24"/>
              </w:rPr>
            </w:pPr>
          </w:p>
        </w:tc>
        <w:tc>
          <w:tcPr>
            <w:tcW w:w="1428" w:type="dxa"/>
            <w:vMerge w:val="continue"/>
            <w:vAlign w:val="center"/>
          </w:tcPr>
          <w:p w14:paraId="189C4BE8">
            <w:pPr>
              <w:widowControl/>
              <w:spacing w:line="360" w:lineRule="exact"/>
              <w:jc w:val="center"/>
              <w:rPr>
                <w:rFonts w:hint="default" w:ascii="Times New Roman" w:hAnsi="Times New Roman" w:eastAsia="方正仿宋_GBK" w:cs="Times New Roman"/>
                <w:color w:val="auto"/>
                <w:sz w:val="24"/>
                <w:szCs w:val="24"/>
              </w:rPr>
            </w:pPr>
          </w:p>
        </w:tc>
        <w:tc>
          <w:tcPr>
            <w:tcW w:w="5518" w:type="dxa"/>
            <w:gridSpan w:val="2"/>
            <w:tcBorders>
              <w:top w:val="single" w:color="auto" w:sz="4" w:space="0"/>
            </w:tcBorders>
            <w:vAlign w:val="center"/>
          </w:tcPr>
          <w:p w14:paraId="6F571482">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管理方式及工作计划（</w:t>
            </w:r>
            <w:r>
              <w:rPr>
                <w:rFonts w:hint="eastAsia" w:ascii="Times New Roman" w:hAnsi="Times New Roman" w:eastAsia="方正仿宋_GBK" w:cs="Times New Roman"/>
                <w:color w:val="auto"/>
                <w:sz w:val="24"/>
                <w:szCs w:val="24"/>
                <w:lang w:val="en-US" w:eastAsia="zh-CN"/>
              </w:rPr>
              <w:t>10</w:t>
            </w:r>
            <w:r>
              <w:rPr>
                <w:rFonts w:hint="default" w:ascii="Times New Roman" w:hAnsi="Times New Roman" w:eastAsia="方正仿宋_GBK" w:cs="Times New Roman"/>
                <w:color w:val="auto"/>
                <w:sz w:val="24"/>
                <w:szCs w:val="24"/>
              </w:rPr>
              <w:t>分）</w:t>
            </w:r>
          </w:p>
        </w:tc>
        <w:tc>
          <w:tcPr>
            <w:tcW w:w="708" w:type="dxa"/>
            <w:vMerge w:val="continue"/>
            <w:vAlign w:val="center"/>
          </w:tcPr>
          <w:p w14:paraId="4FA8BFCD">
            <w:pPr>
              <w:spacing w:line="360" w:lineRule="exact"/>
              <w:jc w:val="center"/>
              <w:rPr>
                <w:rFonts w:hint="default" w:ascii="Times New Roman" w:hAnsi="Times New Roman" w:eastAsia="方正仿宋_GBK" w:cs="Times New Roman"/>
                <w:color w:val="auto"/>
                <w:sz w:val="24"/>
                <w:szCs w:val="24"/>
              </w:rPr>
            </w:pPr>
          </w:p>
        </w:tc>
        <w:tc>
          <w:tcPr>
            <w:tcW w:w="1089" w:type="dxa"/>
            <w:vAlign w:val="center"/>
          </w:tcPr>
          <w:p w14:paraId="12C171F9">
            <w:pPr>
              <w:spacing w:line="360" w:lineRule="exact"/>
              <w:jc w:val="center"/>
              <w:rPr>
                <w:rFonts w:hint="default" w:ascii="Times New Roman" w:hAnsi="Times New Roman" w:eastAsia="方正仿宋_GBK" w:cs="Times New Roman"/>
                <w:color w:val="auto"/>
                <w:sz w:val="24"/>
                <w:szCs w:val="24"/>
              </w:rPr>
            </w:pPr>
          </w:p>
        </w:tc>
      </w:tr>
      <w:tr w14:paraId="0EDC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restart"/>
            <w:vAlign w:val="center"/>
          </w:tcPr>
          <w:p w14:paraId="1156A9F3">
            <w:pPr>
              <w:spacing w:line="36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3</w:t>
            </w:r>
          </w:p>
        </w:tc>
        <w:tc>
          <w:tcPr>
            <w:tcW w:w="1428" w:type="dxa"/>
            <w:vMerge w:val="restart"/>
            <w:tcBorders>
              <w:right w:val="nil"/>
            </w:tcBorders>
            <w:vAlign w:val="center"/>
          </w:tcPr>
          <w:p w14:paraId="47F221DC">
            <w:pPr>
              <w:widowControl/>
              <w:spacing w:line="36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商务标</w:t>
            </w:r>
          </w:p>
          <w:p w14:paraId="1E319F85">
            <w:pPr>
              <w:widowControl/>
              <w:spacing w:line="36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7分</w:t>
            </w:r>
            <w:r>
              <w:rPr>
                <w:rFonts w:hint="eastAsia" w:ascii="Times New Roman" w:hAnsi="Times New Roman" w:eastAsia="方正仿宋_GBK" w:cs="Times New Roman"/>
                <w:color w:val="auto"/>
                <w:sz w:val="24"/>
                <w:szCs w:val="24"/>
                <w:lang w:eastAsia="zh-CN"/>
              </w:rPr>
              <w:t>）</w:t>
            </w:r>
          </w:p>
        </w:tc>
        <w:tc>
          <w:tcPr>
            <w:tcW w:w="5518" w:type="dxa"/>
            <w:gridSpan w:val="2"/>
            <w:shd w:val="clear" w:color="auto" w:fill="auto"/>
            <w:vAlign w:val="center"/>
          </w:tcPr>
          <w:p w14:paraId="320FDCAF">
            <w:pPr>
              <w:spacing w:line="360" w:lineRule="exact"/>
              <w:jc w:val="left"/>
              <w:rPr>
                <w:rFonts w:hint="default" w:ascii="Times New Roman" w:hAnsi="Times New Roman" w:eastAsia="方正仿宋_GBK" w:cs="Times New Roman"/>
                <w:color w:val="auto"/>
                <w:kern w:val="2"/>
                <w:sz w:val="24"/>
                <w:szCs w:val="24"/>
                <w:lang w:val="zh-CN" w:eastAsia="zh-CN" w:bidi="ar-SA"/>
              </w:rPr>
            </w:pPr>
            <w:r>
              <w:rPr>
                <w:rFonts w:hint="default"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企业基本情况、获得荣誉情况</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2分</w:t>
            </w:r>
            <w:r>
              <w:rPr>
                <w:rFonts w:hint="default" w:ascii="Times New Roman" w:hAnsi="Times New Roman" w:eastAsia="方正仿宋_GBK" w:cs="Times New Roman"/>
                <w:color w:val="auto"/>
                <w:sz w:val="24"/>
                <w:szCs w:val="24"/>
                <w:lang w:eastAsia="zh-CN"/>
              </w:rPr>
              <w:t>）</w:t>
            </w:r>
          </w:p>
        </w:tc>
        <w:tc>
          <w:tcPr>
            <w:tcW w:w="708" w:type="dxa"/>
            <w:vAlign w:val="center"/>
          </w:tcPr>
          <w:p w14:paraId="6714E4D6">
            <w:pPr>
              <w:spacing w:line="36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w:t>
            </w:r>
          </w:p>
        </w:tc>
        <w:tc>
          <w:tcPr>
            <w:tcW w:w="1089" w:type="dxa"/>
            <w:vAlign w:val="center"/>
          </w:tcPr>
          <w:p w14:paraId="1E19D54E">
            <w:pPr>
              <w:spacing w:line="360" w:lineRule="exact"/>
              <w:jc w:val="center"/>
              <w:rPr>
                <w:rFonts w:hint="default" w:ascii="Times New Roman" w:hAnsi="Times New Roman" w:eastAsia="方正仿宋_GBK" w:cs="Times New Roman"/>
                <w:color w:val="auto"/>
                <w:sz w:val="24"/>
                <w:szCs w:val="24"/>
              </w:rPr>
            </w:pPr>
          </w:p>
        </w:tc>
      </w:tr>
      <w:tr w14:paraId="7CC3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continue"/>
            <w:vAlign w:val="center"/>
          </w:tcPr>
          <w:p w14:paraId="07F93CF1">
            <w:pPr>
              <w:spacing w:line="360" w:lineRule="exact"/>
              <w:jc w:val="center"/>
              <w:rPr>
                <w:rFonts w:hint="default" w:ascii="Times New Roman" w:hAnsi="Times New Roman" w:eastAsia="方正仿宋_GBK" w:cs="Times New Roman"/>
                <w:color w:val="auto"/>
                <w:sz w:val="24"/>
                <w:szCs w:val="24"/>
                <w:lang w:val="en-US" w:eastAsia="zh-CN"/>
              </w:rPr>
            </w:pPr>
          </w:p>
        </w:tc>
        <w:tc>
          <w:tcPr>
            <w:tcW w:w="1428" w:type="dxa"/>
            <w:vMerge w:val="continue"/>
            <w:tcBorders>
              <w:right w:val="nil"/>
            </w:tcBorders>
            <w:vAlign w:val="center"/>
          </w:tcPr>
          <w:p w14:paraId="78370057">
            <w:pPr>
              <w:widowControl/>
              <w:spacing w:line="360" w:lineRule="exact"/>
              <w:jc w:val="center"/>
              <w:rPr>
                <w:rFonts w:hint="eastAsia" w:ascii="Times New Roman" w:hAnsi="Times New Roman" w:eastAsia="方正仿宋_GBK" w:cs="Times New Roman"/>
                <w:color w:val="auto"/>
                <w:sz w:val="24"/>
                <w:szCs w:val="24"/>
                <w:lang w:eastAsia="zh-CN"/>
              </w:rPr>
            </w:pPr>
          </w:p>
        </w:tc>
        <w:tc>
          <w:tcPr>
            <w:tcW w:w="5518" w:type="dxa"/>
            <w:gridSpan w:val="2"/>
            <w:shd w:val="clear" w:color="auto" w:fill="auto"/>
            <w:vAlign w:val="center"/>
          </w:tcPr>
          <w:p w14:paraId="49727B04">
            <w:pPr>
              <w:spacing w:line="360" w:lineRule="exact"/>
              <w:jc w:val="left"/>
              <w:rPr>
                <w:rFonts w:hint="default" w:ascii="Times New Roman" w:hAnsi="Times New Roman" w:eastAsia="方正仿宋_GBK" w:cs="Times New Roman"/>
                <w:color w:val="auto"/>
                <w:kern w:val="2"/>
                <w:sz w:val="24"/>
                <w:szCs w:val="24"/>
                <w:lang w:val="zh-CN" w:eastAsia="zh-CN" w:bidi="ar-SA"/>
              </w:rPr>
            </w:pPr>
            <w:r>
              <w:rPr>
                <w:rFonts w:hint="default"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根据投标书中提供的管理业绩表，服务</w:t>
            </w:r>
            <w:r>
              <w:rPr>
                <w:rFonts w:hint="eastAsia" w:ascii="Times New Roman" w:hAnsi="Times New Roman" w:eastAsia="方正仿宋_GBK" w:cs="Times New Roman"/>
                <w:color w:val="auto"/>
                <w:sz w:val="24"/>
                <w:szCs w:val="24"/>
                <w:lang w:eastAsia="zh-CN"/>
              </w:rPr>
              <w:t>电梯数量</w:t>
            </w:r>
            <w:r>
              <w:rPr>
                <w:rFonts w:hint="default" w:ascii="Times New Roman" w:hAnsi="Times New Roman" w:eastAsia="方正仿宋_GBK" w:cs="Times New Roman"/>
                <w:color w:val="auto"/>
                <w:sz w:val="24"/>
                <w:szCs w:val="24"/>
              </w:rPr>
              <w:t>大于</w:t>
            </w:r>
            <w:r>
              <w:rPr>
                <w:rFonts w:hint="eastAsia" w:ascii="Times New Roman" w:hAnsi="Times New Roman" w:eastAsia="方正仿宋_GBK" w:cs="Times New Roman"/>
                <w:color w:val="auto"/>
                <w:sz w:val="24"/>
                <w:szCs w:val="24"/>
                <w:lang w:val="en-US" w:eastAsia="zh-CN"/>
              </w:rPr>
              <w:t>60台</w:t>
            </w:r>
            <w:r>
              <w:rPr>
                <w:rFonts w:hint="default" w:ascii="Times New Roman" w:hAnsi="Times New Roman" w:eastAsia="方正仿宋_GBK" w:cs="Times New Roman"/>
                <w:color w:val="auto"/>
                <w:sz w:val="24"/>
                <w:szCs w:val="24"/>
              </w:rPr>
              <w:t>的项目1个得</w:t>
            </w: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分，</w:t>
            </w:r>
            <w:r>
              <w:rPr>
                <w:rFonts w:hint="eastAsia" w:ascii="Times New Roman" w:hAnsi="Times New Roman" w:eastAsia="方正仿宋_GBK" w:cs="Times New Roman"/>
                <w:color w:val="auto"/>
                <w:sz w:val="24"/>
                <w:szCs w:val="24"/>
                <w:lang w:eastAsia="zh-CN"/>
              </w:rPr>
              <w:t>以此类推，最高</w:t>
            </w:r>
            <w:r>
              <w:rPr>
                <w:rFonts w:hint="default" w:ascii="Times New Roman" w:hAnsi="Times New Roman" w:eastAsia="方正仿宋_GBK" w:cs="Times New Roman"/>
                <w:color w:val="auto"/>
                <w:sz w:val="24"/>
                <w:szCs w:val="24"/>
              </w:rPr>
              <w:t>得</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w:t>
            </w:r>
          </w:p>
        </w:tc>
        <w:tc>
          <w:tcPr>
            <w:tcW w:w="708" w:type="dxa"/>
            <w:vAlign w:val="center"/>
          </w:tcPr>
          <w:p w14:paraId="46BEAD26">
            <w:pPr>
              <w:spacing w:line="36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w:t>
            </w:r>
          </w:p>
        </w:tc>
        <w:tc>
          <w:tcPr>
            <w:tcW w:w="1089" w:type="dxa"/>
            <w:vAlign w:val="center"/>
          </w:tcPr>
          <w:p w14:paraId="651F49C5">
            <w:pPr>
              <w:spacing w:line="360" w:lineRule="exact"/>
              <w:jc w:val="center"/>
              <w:rPr>
                <w:rFonts w:hint="default" w:ascii="Times New Roman" w:hAnsi="Times New Roman" w:eastAsia="方正仿宋_GBK" w:cs="Times New Roman"/>
                <w:color w:val="auto"/>
                <w:sz w:val="24"/>
                <w:szCs w:val="24"/>
              </w:rPr>
            </w:pPr>
          </w:p>
        </w:tc>
      </w:tr>
      <w:tr w14:paraId="271C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restart"/>
            <w:vAlign w:val="center"/>
          </w:tcPr>
          <w:p w14:paraId="21C22935">
            <w:pPr>
              <w:spacing w:line="36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4</w:t>
            </w:r>
          </w:p>
        </w:tc>
        <w:tc>
          <w:tcPr>
            <w:tcW w:w="1428" w:type="dxa"/>
            <w:vMerge w:val="restart"/>
            <w:tcBorders>
              <w:right w:val="nil"/>
            </w:tcBorders>
            <w:vAlign w:val="center"/>
          </w:tcPr>
          <w:p w14:paraId="55AE0500">
            <w:pPr>
              <w:widowControl/>
              <w:spacing w:line="360" w:lineRule="exact"/>
              <w:jc w:val="center"/>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现场</w:t>
            </w:r>
            <w:r>
              <w:rPr>
                <w:rFonts w:hint="eastAsia" w:ascii="Times New Roman" w:hAnsi="Times New Roman" w:eastAsia="方正仿宋_GBK" w:cs="Times New Roman"/>
                <w:color w:val="auto"/>
                <w:sz w:val="24"/>
                <w:szCs w:val="24"/>
                <w:lang w:val="en-US" w:eastAsia="zh-CN"/>
              </w:rPr>
              <w:t>答辩</w:t>
            </w:r>
          </w:p>
          <w:p w14:paraId="26F0FAE9">
            <w:pPr>
              <w:widowControl/>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分）</w:t>
            </w:r>
          </w:p>
        </w:tc>
        <w:tc>
          <w:tcPr>
            <w:tcW w:w="5518" w:type="dxa"/>
            <w:gridSpan w:val="2"/>
            <w:vAlign w:val="center"/>
          </w:tcPr>
          <w:p w14:paraId="7CA9BC0C">
            <w:pPr>
              <w:spacing w:line="360" w:lineRule="exact"/>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1</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zh-CN"/>
              </w:rPr>
              <w:t>工作思路（</w:t>
            </w:r>
            <w:r>
              <w:rPr>
                <w:rFonts w:hint="eastAsia"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lang w:val="zh-CN"/>
              </w:rPr>
              <w:t xml:space="preserve">分） </w:t>
            </w:r>
          </w:p>
        </w:tc>
        <w:tc>
          <w:tcPr>
            <w:tcW w:w="708" w:type="dxa"/>
            <w:vMerge w:val="restart"/>
            <w:vAlign w:val="center"/>
          </w:tcPr>
          <w:p w14:paraId="0444ABB3">
            <w:pPr>
              <w:spacing w:line="36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3</w:t>
            </w:r>
          </w:p>
        </w:tc>
        <w:tc>
          <w:tcPr>
            <w:tcW w:w="1089" w:type="dxa"/>
            <w:vAlign w:val="center"/>
          </w:tcPr>
          <w:p w14:paraId="2A01F010">
            <w:pPr>
              <w:spacing w:line="360" w:lineRule="exact"/>
              <w:jc w:val="center"/>
              <w:rPr>
                <w:rFonts w:hint="default" w:ascii="Times New Roman" w:hAnsi="Times New Roman" w:eastAsia="方正仿宋_GBK" w:cs="Times New Roman"/>
                <w:color w:val="auto"/>
                <w:sz w:val="24"/>
                <w:szCs w:val="24"/>
              </w:rPr>
            </w:pPr>
          </w:p>
        </w:tc>
      </w:tr>
      <w:tr w14:paraId="074F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continue"/>
            <w:vAlign w:val="center"/>
          </w:tcPr>
          <w:p w14:paraId="1AE56B09">
            <w:pPr>
              <w:spacing w:line="360" w:lineRule="exact"/>
              <w:rPr>
                <w:rFonts w:hint="default" w:ascii="Times New Roman" w:hAnsi="Times New Roman" w:eastAsia="方正仿宋_GBK" w:cs="Times New Roman"/>
                <w:color w:val="auto"/>
                <w:sz w:val="24"/>
                <w:szCs w:val="24"/>
              </w:rPr>
            </w:pPr>
          </w:p>
        </w:tc>
        <w:tc>
          <w:tcPr>
            <w:tcW w:w="1428" w:type="dxa"/>
            <w:vMerge w:val="continue"/>
            <w:tcBorders>
              <w:right w:val="nil"/>
            </w:tcBorders>
            <w:vAlign w:val="center"/>
          </w:tcPr>
          <w:p w14:paraId="1760C200">
            <w:pPr>
              <w:widowControl/>
              <w:spacing w:line="360" w:lineRule="exact"/>
              <w:jc w:val="center"/>
              <w:rPr>
                <w:rFonts w:hint="default" w:ascii="Times New Roman" w:hAnsi="Times New Roman" w:eastAsia="方正仿宋_GBK" w:cs="Times New Roman"/>
                <w:color w:val="auto"/>
                <w:sz w:val="24"/>
                <w:szCs w:val="24"/>
              </w:rPr>
            </w:pPr>
          </w:p>
        </w:tc>
        <w:tc>
          <w:tcPr>
            <w:tcW w:w="5518" w:type="dxa"/>
            <w:gridSpan w:val="2"/>
            <w:vAlign w:val="center"/>
          </w:tcPr>
          <w:p w14:paraId="3AAC71F6">
            <w:pPr>
              <w:spacing w:line="360" w:lineRule="exact"/>
              <w:jc w:val="left"/>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en-US" w:eastAsia="zh-CN"/>
              </w:rPr>
              <w:t>2</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zh-CN"/>
              </w:rPr>
              <w:t>情况熟悉（</w:t>
            </w: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lang w:val="zh-CN"/>
              </w:rPr>
              <w:t>分）</w:t>
            </w:r>
          </w:p>
        </w:tc>
        <w:tc>
          <w:tcPr>
            <w:tcW w:w="708" w:type="dxa"/>
            <w:vMerge w:val="continue"/>
            <w:vAlign w:val="center"/>
          </w:tcPr>
          <w:p w14:paraId="2591830D">
            <w:pPr>
              <w:spacing w:line="360" w:lineRule="exact"/>
              <w:jc w:val="center"/>
              <w:rPr>
                <w:rFonts w:hint="default" w:ascii="Times New Roman" w:hAnsi="Times New Roman" w:eastAsia="方正仿宋_GBK" w:cs="Times New Roman"/>
                <w:color w:val="auto"/>
                <w:sz w:val="24"/>
                <w:szCs w:val="24"/>
              </w:rPr>
            </w:pPr>
          </w:p>
        </w:tc>
        <w:tc>
          <w:tcPr>
            <w:tcW w:w="1089" w:type="dxa"/>
            <w:vAlign w:val="center"/>
          </w:tcPr>
          <w:p w14:paraId="3FB1A8E1">
            <w:pPr>
              <w:spacing w:line="360" w:lineRule="exact"/>
              <w:jc w:val="center"/>
              <w:rPr>
                <w:rFonts w:hint="default" w:ascii="Times New Roman" w:hAnsi="Times New Roman" w:eastAsia="方正仿宋_GBK" w:cs="Times New Roman"/>
                <w:color w:val="auto"/>
                <w:sz w:val="24"/>
                <w:szCs w:val="24"/>
              </w:rPr>
            </w:pPr>
          </w:p>
        </w:tc>
      </w:tr>
      <w:tr w14:paraId="6477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9" w:type="dxa"/>
            <w:vAlign w:val="center"/>
          </w:tcPr>
          <w:p w14:paraId="048D3011">
            <w:pPr>
              <w:spacing w:line="36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5</w:t>
            </w:r>
          </w:p>
        </w:tc>
        <w:tc>
          <w:tcPr>
            <w:tcW w:w="5308" w:type="dxa"/>
            <w:gridSpan w:val="2"/>
            <w:tcBorders>
              <w:right w:val="nil"/>
            </w:tcBorders>
            <w:vAlign w:val="center"/>
          </w:tcPr>
          <w:p w14:paraId="7E1791A4">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合</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 xml:space="preserve">计        </w:t>
            </w:r>
          </w:p>
        </w:tc>
        <w:tc>
          <w:tcPr>
            <w:tcW w:w="1638" w:type="dxa"/>
            <w:tcBorders>
              <w:left w:val="nil"/>
            </w:tcBorders>
            <w:vAlign w:val="center"/>
          </w:tcPr>
          <w:p w14:paraId="6AF4B22F">
            <w:pPr>
              <w:spacing w:line="360" w:lineRule="exact"/>
              <w:rPr>
                <w:rFonts w:hint="default" w:ascii="Times New Roman" w:hAnsi="Times New Roman" w:eastAsia="方正仿宋_GBK" w:cs="Times New Roman"/>
                <w:color w:val="auto"/>
                <w:sz w:val="24"/>
                <w:szCs w:val="24"/>
              </w:rPr>
            </w:pPr>
          </w:p>
        </w:tc>
        <w:tc>
          <w:tcPr>
            <w:tcW w:w="708" w:type="dxa"/>
            <w:vAlign w:val="center"/>
          </w:tcPr>
          <w:p w14:paraId="1F9896CB">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c>
          <w:tcPr>
            <w:tcW w:w="1089" w:type="dxa"/>
            <w:vAlign w:val="center"/>
          </w:tcPr>
          <w:p w14:paraId="238F3A34">
            <w:pPr>
              <w:spacing w:line="360" w:lineRule="exact"/>
              <w:jc w:val="center"/>
              <w:rPr>
                <w:rFonts w:hint="default" w:ascii="Times New Roman" w:hAnsi="Times New Roman" w:eastAsia="方正仿宋_GBK" w:cs="Times New Roman"/>
                <w:color w:val="auto"/>
                <w:sz w:val="24"/>
                <w:szCs w:val="24"/>
              </w:rPr>
            </w:pPr>
          </w:p>
        </w:tc>
      </w:tr>
      <w:tr w14:paraId="313A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9" w:type="dxa"/>
            <w:vAlign w:val="center"/>
          </w:tcPr>
          <w:p w14:paraId="3BF56361">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最终得分</w:t>
            </w:r>
          </w:p>
        </w:tc>
        <w:tc>
          <w:tcPr>
            <w:tcW w:w="8743" w:type="dxa"/>
            <w:gridSpan w:val="5"/>
            <w:vAlign w:val="center"/>
          </w:tcPr>
          <w:p w14:paraId="3E509E32">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D93DABD">
      <w:pPr>
        <w:spacing w:line="3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按</w:t>
      </w:r>
      <w:r>
        <w:rPr>
          <w:rFonts w:hint="eastAsia" w:ascii="方正仿宋_GBK" w:hAnsi="方正仿宋_GBK" w:eastAsia="方正仿宋_GBK" w:cs="方正仿宋_GBK"/>
          <w:color w:val="auto"/>
          <w:sz w:val="24"/>
          <w:szCs w:val="24"/>
          <w:lang w:val="en-US" w:eastAsia="zh-CN"/>
        </w:rPr>
        <w:t>比选</w:t>
      </w:r>
      <w:r>
        <w:rPr>
          <w:rFonts w:hint="eastAsia" w:ascii="方正仿宋_GBK" w:hAnsi="方正仿宋_GBK" w:eastAsia="方正仿宋_GBK" w:cs="方正仿宋_GBK"/>
          <w:color w:val="auto"/>
          <w:sz w:val="24"/>
          <w:szCs w:val="24"/>
        </w:rPr>
        <w:t>文件中规定的评标方法和标准，对资格性检查和符合性检查合格的投标文件进行技术等评估。评标小组成员对每个有效投标人的投标文件进行评价、打分，以得分由高到低的</w:t>
      </w:r>
      <w:r>
        <w:rPr>
          <w:rFonts w:hint="eastAsia" w:ascii="方正仿宋_GBK" w:hAnsi="方正仿宋_GBK" w:eastAsia="方正仿宋_GBK" w:cs="方正仿宋_GBK"/>
          <w:color w:val="auto"/>
          <w:sz w:val="24"/>
          <w:szCs w:val="24"/>
          <w:lang w:val="en-US" w:eastAsia="zh-CN"/>
        </w:rPr>
        <w:t>顺</w:t>
      </w:r>
      <w:r>
        <w:rPr>
          <w:rFonts w:hint="eastAsia" w:ascii="方正仿宋_GBK" w:hAnsi="方正仿宋_GBK" w:eastAsia="方正仿宋_GBK" w:cs="方正仿宋_GBK"/>
          <w:color w:val="auto"/>
          <w:sz w:val="24"/>
          <w:szCs w:val="24"/>
        </w:rPr>
        <w:t>序确定中标候选人</w:t>
      </w:r>
      <w:r>
        <w:rPr>
          <w:rFonts w:hint="eastAsia" w:ascii="方正仿宋_GBK" w:hAnsi="方正仿宋_GBK" w:eastAsia="方正仿宋_GBK" w:cs="方正仿宋_GBK"/>
          <w:color w:val="auto"/>
          <w:sz w:val="24"/>
          <w:szCs w:val="24"/>
          <w:lang w:val="en-US" w:eastAsia="zh-CN"/>
        </w:rPr>
        <w:t>顺</w:t>
      </w:r>
      <w:r>
        <w:rPr>
          <w:rFonts w:hint="eastAsia" w:ascii="方正仿宋_GBK" w:hAnsi="方正仿宋_GBK" w:eastAsia="方正仿宋_GBK" w:cs="方正仿宋_GBK"/>
          <w:color w:val="auto"/>
          <w:sz w:val="24"/>
          <w:szCs w:val="24"/>
        </w:rPr>
        <w:t>序。</w:t>
      </w:r>
    </w:p>
    <w:p w14:paraId="7AEFC922">
      <w:pPr>
        <w:spacing w:line="360" w:lineRule="exact"/>
        <w:ind w:firstLine="2560" w:firstLineChars="800"/>
        <w:rPr>
          <w:rFonts w:ascii="华文中宋" w:hAnsi="华文中宋" w:eastAsia="华文中宋" w:cs="仿宋"/>
          <w:color w:val="auto"/>
          <w:sz w:val="32"/>
          <w:szCs w:val="32"/>
        </w:rPr>
      </w:pPr>
    </w:p>
    <w:p w14:paraId="59F6913E">
      <w:pPr>
        <w:spacing w:line="360" w:lineRule="exact"/>
        <w:jc w:val="center"/>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第四部分  项目内容及要求</w:t>
      </w:r>
    </w:p>
    <w:p w14:paraId="1D6A608E">
      <w:pPr>
        <w:pStyle w:val="22"/>
        <w:spacing w:line="360" w:lineRule="exact"/>
        <w:ind w:firstLine="0" w:firstLineChars="0"/>
        <w:jc w:val="left"/>
        <w:rPr>
          <w:rFonts w:asciiTheme="majorEastAsia" w:hAnsiTheme="majorEastAsia" w:eastAsiaTheme="majorEastAsia" w:cstheme="majorEastAsia"/>
          <w:b/>
          <w:color w:val="auto"/>
          <w:sz w:val="24"/>
          <w:szCs w:val="24"/>
        </w:rPr>
      </w:pPr>
    </w:p>
    <w:p w14:paraId="42E6EBEA">
      <w:pPr>
        <w:keepNext w:val="0"/>
        <w:keepLines w:val="0"/>
        <w:pageBreakBefore w:val="0"/>
        <w:widowControl w:val="0"/>
        <w:tabs>
          <w:tab w:val="left" w:pos="0"/>
          <w:tab w:val="left" w:pos="630"/>
        </w:tabs>
        <w:kinsoku/>
        <w:wordWrap/>
        <w:overflowPunct/>
        <w:topLinePunct w:val="0"/>
        <w:autoSpaceDE/>
        <w:autoSpaceDN/>
        <w:bidi w:val="0"/>
        <w:adjustRightInd/>
        <w:snapToGrid/>
        <w:spacing w:line="360" w:lineRule="exact"/>
        <w:ind w:firstLine="480" w:firstLineChars="200"/>
        <w:textAlignment w:val="auto"/>
        <w:rPr>
          <w:rFonts w:hint="eastAsia" w:ascii="方正黑体_GBK" w:hAnsi="方正黑体_GBK" w:eastAsia="方正黑体_GBK" w:cs="方正黑体_GBK"/>
          <w:b w:val="0"/>
          <w:bCs/>
          <w:color w:val="auto"/>
          <w:kern w:val="0"/>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一、维护保养服务区域及内容</w:t>
      </w:r>
    </w:p>
    <w:p w14:paraId="03A182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（一）</w:t>
      </w:r>
      <w:r>
        <w:rPr>
          <w:rFonts w:hint="default" w:ascii="Times New Roman" w:hAnsi="Times New Roman" w:eastAsia="方正仿宋_GBK" w:cs="Times New Roman"/>
          <w:color w:val="auto"/>
          <w:sz w:val="24"/>
          <w:szCs w:val="24"/>
          <w:lang w:val="en-US" w:eastAsia="zh-CN"/>
        </w:rPr>
        <w:t>电梯</w:t>
      </w:r>
      <w:r>
        <w:rPr>
          <w:rFonts w:hint="eastAsia" w:ascii="Times New Roman" w:hAnsi="Times New Roman" w:eastAsia="方正仿宋_GBK" w:cs="Times New Roman"/>
          <w:color w:val="auto"/>
          <w:sz w:val="24"/>
          <w:szCs w:val="24"/>
          <w:lang w:val="en-US" w:eastAsia="zh-CN"/>
        </w:rPr>
        <w:t>维</w:t>
      </w:r>
      <w:r>
        <w:rPr>
          <w:rFonts w:hint="default" w:ascii="Times New Roman" w:hAnsi="Times New Roman" w:eastAsia="方正仿宋_GBK" w:cs="Times New Roman"/>
          <w:color w:val="auto"/>
          <w:sz w:val="24"/>
          <w:szCs w:val="24"/>
          <w:lang w:val="en-US" w:eastAsia="zh-CN"/>
        </w:rPr>
        <w:t>保服务区域。巨星花园A区1-7单元共计7</w:t>
      </w:r>
      <w:r>
        <w:rPr>
          <w:rFonts w:hint="eastAsia" w:ascii="Times New Roman" w:hAnsi="Times New Roman" w:eastAsia="方正仿宋_GBK" w:cs="Times New Roman"/>
          <w:color w:val="auto"/>
          <w:sz w:val="24"/>
          <w:szCs w:val="24"/>
          <w:lang w:val="en-US" w:eastAsia="zh-CN"/>
        </w:rPr>
        <w:t>台</w:t>
      </w:r>
      <w:r>
        <w:rPr>
          <w:rFonts w:hint="default" w:ascii="Times New Roman" w:hAnsi="Times New Roman" w:eastAsia="方正仿宋_GBK" w:cs="Times New Roman"/>
          <w:color w:val="auto"/>
          <w:sz w:val="24"/>
          <w:szCs w:val="24"/>
          <w:lang w:val="en-US" w:eastAsia="zh-CN"/>
        </w:rPr>
        <w:t>电梯日常</w:t>
      </w:r>
      <w:r>
        <w:rPr>
          <w:rFonts w:hint="eastAsia" w:ascii="Times New Roman" w:hAnsi="Times New Roman" w:eastAsia="方正仿宋_GBK" w:cs="Times New Roman"/>
          <w:color w:val="auto"/>
          <w:sz w:val="24"/>
          <w:szCs w:val="24"/>
          <w:lang w:val="en-US" w:eastAsia="zh-CN"/>
        </w:rPr>
        <w:t>维护</w:t>
      </w:r>
      <w:r>
        <w:rPr>
          <w:rFonts w:hint="default" w:ascii="Times New Roman" w:hAnsi="Times New Roman" w:eastAsia="方正仿宋_GBK" w:cs="Times New Roman"/>
          <w:color w:val="auto"/>
          <w:sz w:val="24"/>
          <w:szCs w:val="24"/>
          <w:lang w:val="en-US" w:eastAsia="zh-CN"/>
        </w:rPr>
        <w:t>保养。</w:t>
      </w:r>
    </w:p>
    <w:p w14:paraId="5C86B4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黑体_GBK" w:hAnsi="方正黑体_GBK" w:eastAsia="方正仿宋_GBK" w:cs="方正黑体_GBK"/>
          <w:color w:val="auto"/>
          <w:sz w:val="24"/>
          <w:szCs w:val="24"/>
          <w:lang w:val="en-US" w:eastAsia="zh-CN"/>
        </w:rPr>
      </w:pPr>
      <w:r>
        <w:rPr>
          <w:rFonts w:hint="eastAsia" w:ascii="Times New Roman" w:hAnsi="Times New Roman" w:eastAsia="方正仿宋_GBK" w:cs="Times New Roman"/>
          <w:color w:val="auto"/>
          <w:sz w:val="24"/>
          <w:szCs w:val="24"/>
          <w:lang w:val="en-US" w:eastAsia="zh-CN"/>
        </w:rPr>
        <w:t>（二）</w:t>
      </w:r>
      <w:r>
        <w:rPr>
          <w:rFonts w:hint="default" w:ascii="Times New Roman" w:hAnsi="Times New Roman" w:eastAsia="方正仿宋_GBK" w:cs="Times New Roman"/>
          <w:color w:val="auto"/>
          <w:sz w:val="24"/>
          <w:szCs w:val="24"/>
          <w:lang w:val="en-US" w:eastAsia="zh-CN"/>
        </w:rPr>
        <w:t>电梯</w:t>
      </w:r>
      <w:r>
        <w:rPr>
          <w:rFonts w:hint="eastAsia" w:ascii="Times New Roman" w:hAnsi="Times New Roman" w:eastAsia="方正仿宋_GBK" w:cs="Times New Roman"/>
          <w:color w:val="auto"/>
          <w:sz w:val="24"/>
          <w:szCs w:val="24"/>
          <w:lang w:val="en-US" w:eastAsia="zh-CN"/>
        </w:rPr>
        <w:t>维</w:t>
      </w:r>
      <w:r>
        <w:rPr>
          <w:rFonts w:hint="default" w:ascii="Times New Roman" w:hAnsi="Times New Roman" w:eastAsia="方正仿宋_GBK" w:cs="Times New Roman"/>
          <w:color w:val="auto"/>
          <w:sz w:val="24"/>
          <w:szCs w:val="24"/>
          <w:lang w:val="en-US" w:eastAsia="zh-CN"/>
        </w:rPr>
        <w:t>保服务内容</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严格按照《电梯维护保养规则》</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TSG T5002-2017</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及相关</w:t>
      </w:r>
      <w:r>
        <w:rPr>
          <w:rFonts w:hint="eastAsia" w:ascii="Times New Roman" w:hAnsi="Times New Roman" w:eastAsia="方正仿宋_GBK" w:cs="Times New Roman"/>
          <w:color w:val="auto"/>
          <w:sz w:val="24"/>
          <w:szCs w:val="24"/>
          <w:lang w:eastAsia="zh-CN"/>
        </w:rPr>
        <w:t>行业</w:t>
      </w:r>
      <w:r>
        <w:rPr>
          <w:rFonts w:hint="default" w:ascii="Times New Roman" w:hAnsi="Times New Roman" w:eastAsia="方正仿宋_GBK" w:cs="Times New Roman"/>
          <w:color w:val="auto"/>
          <w:sz w:val="24"/>
          <w:szCs w:val="24"/>
        </w:rPr>
        <w:t>标准、规范和电梯制造厂家的技术要求，对巨星花园A区1-7单元</w:t>
      </w:r>
      <w:r>
        <w:rPr>
          <w:rFonts w:hint="eastAsia" w:ascii="Times New Roman" w:hAnsi="Times New Roman" w:eastAsia="方正仿宋_GBK" w:cs="Times New Roman"/>
          <w:color w:val="auto"/>
          <w:sz w:val="24"/>
          <w:szCs w:val="24"/>
          <w:lang w:val="en-US" w:eastAsia="zh-CN"/>
        </w:rPr>
        <w:t>7</w:t>
      </w:r>
      <w:r>
        <w:rPr>
          <w:rFonts w:hint="default" w:ascii="Times New Roman" w:hAnsi="Times New Roman" w:eastAsia="方正仿宋_GBK" w:cs="Times New Roman"/>
          <w:color w:val="auto"/>
          <w:sz w:val="24"/>
          <w:szCs w:val="24"/>
        </w:rPr>
        <w:t>台电梯进行半月</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季度</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半年</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年度维保工作</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包括</w:t>
      </w:r>
      <w:r>
        <w:rPr>
          <w:rFonts w:hint="default" w:ascii="Times New Roman" w:hAnsi="Times New Roman" w:eastAsia="方正仿宋_GBK" w:cs="Times New Roman"/>
          <w:color w:val="auto"/>
          <w:sz w:val="24"/>
          <w:szCs w:val="24"/>
        </w:rPr>
        <w:t>但不限于</w:t>
      </w:r>
      <w:r>
        <w:rPr>
          <w:rFonts w:hint="eastAsia" w:ascii="Times New Roman" w:hAnsi="Times New Roman" w:eastAsia="方正仿宋_GBK" w:cs="Times New Roman"/>
          <w:color w:val="auto"/>
          <w:sz w:val="24"/>
          <w:szCs w:val="24"/>
          <w:lang w:val="en-US" w:eastAsia="zh-CN"/>
        </w:rPr>
        <w:t>对电梯的</w:t>
      </w:r>
      <w:r>
        <w:rPr>
          <w:rFonts w:hint="default" w:ascii="Times New Roman" w:hAnsi="Times New Roman" w:eastAsia="方正仿宋_GBK" w:cs="Times New Roman"/>
          <w:color w:val="auto"/>
          <w:sz w:val="24"/>
          <w:szCs w:val="24"/>
        </w:rPr>
        <w:t>清洁</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润滑</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检查</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调整</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更换易损件等</w:t>
      </w:r>
      <w:r>
        <w:rPr>
          <w:rFonts w:hint="eastAsia" w:ascii="Times New Roman" w:hAnsi="Times New Roman" w:eastAsia="方正仿宋_GBK" w:cs="Times New Roman"/>
          <w:color w:val="auto"/>
          <w:sz w:val="24"/>
          <w:szCs w:val="24"/>
          <w:lang w:eastAsia="zh-CN"/>
        </w:rPr>
        <w:t>。</w:t>
      </w:r>
    </w:p>
    <w:p w14:paraId="45E2932B">
      <w:pPr>
        <w:keepNext w:val="0"/>
        <w:keepLines w:val="0"/>
        <w:pageBreakBefore w:val="0"/>
        <w:widowControl w:val="0"/>
        <w:tabs>
          <w:tab w:val="left" w:pos="0"/>
          <w:tab w:val="left" w:pos="630"/>
        </w:tabs>
        <w:kinsoku/>
        <w:wordWrap/>
        <w:overflowPunct/>
        <w:topLinePunct w:val="0"/>
        <w:autoSpaceDE/>
        <w:autoSpaceDN/>
        <w:bidi w:val="0"/>
        <w:adjustRightInd/>
        <w:snapToGrid/>
        <w:spacing w:line="360" w:lineRule="exact"/>
        <w:ind w:firstLine="480" w:firstLineChars="200"/>
        <w:textAlignment w:val="auto"/>
        <w:rPr>
          <w:rFonts w:hint="eastAsia" w:ascii="方正黑体_GBK" w:hAnsi="方正黑体_GBK" w:eastAsia="方正黑体_GBK" w:cs="方正黑体_GBK"/>
          <w:b w:val="0"/>
          <w:bCs/>
          <w:color w:val="auto"/>
          <w:kern w:val="0"/>
          <w:sz w:val="24"/>
          <w:szCs w:val="24"/>
        </w:rPr>
      </w:pPr>
      <w:r>
        <w:rPr>
          <w:rFonts w:hint="eastAsia" w:ascii="方正黑体_GBK" w:hAnsi="方正黑体_GBK" w:eastAsia="方正黑体_GBK" w:cs="方正黑体_GBK"/>
          <w:b w:val="0"/>
          <w:bCs/>
          <w:color w:val="auto"/>
          <w:sz w:val="24"/>
          <w:szCs w:val="24"/>
          <w:lang w:val="en-US" w:eastAsia="zh-CN"/>
        </w:rPr>
        <w:t>二</w:t>
      </w:r>
      <w:r>
        <w:rPr>
          <w:rFonts w:hint="eastAsia" w:ascii="方正黑体_GBK" w:hAnsi="方正黑体_GBK" w:eastAsia="方正黑体_GBK" w:cs="方正黑体_GBK"/>
          <w:b w:val="0"/>
          <w:bCs/>
          <w:color w:val="auto"/>
          <w:sz w:val="24"/>
          <w:szCs w:val="24"/>
          <w:lang w:eastAsia="zh-CN"/>
        </w:rPr>
        <w:t>、</w:t>
      </w:r>
      <w:r>
        <w:rPr>
          <w:rFonts w:hint="eastAsia" w:ascii="方正黑体_GBK" w:hAnsi="方正黑体_GBK" w:eastAsia="方正黑体_GBK" w:cs="方正黑体_GBK"/>
          <w:b w:val="0"/>
          <w:bCs/>
          <w:color w:val="auto"/>
          <w:sz w:val="24"/>
          <w:szCs w:val="24"/>
          <w:lang w:val="en-US" w:eastAsia="zh-CN"/>
        </w:rPr>
        <w:t>维保</w:t>
      </w:r>
      <w:r>
        <w:rPr>
          <w:rFonts w:hint="eastAsia" w:ascii="方正黑体_GBK" w:hAnsi="方正黑体_GBK" w:eastAsia="方正黑体_GBK" w:cs="方正黑体_GBK"/>
          <w:b w:val="0"/>
          <w:bCs/>
          <w:color w:val="auto"/>
          <w:kern w:val="0"/>
          <w:sz w:val="24"/>
          <w:szCs w:val="24"/>
        </w:rPr>
        <w:t>服务内容及</w:t>
      </w:r>
      <w:r>
        <w:rPr>
          <w:rFonts w:hint="eastAsia" w:ascii="方正黑体_GBK" w:hAnsi="方正黑体_GBK" w:eastAsia="方正黑体_GBK" w:cs="方正黑体_GBK"/>
          <w:b w:val="0"/>
          <w:bCs/>
          <w:color w:val="auto"/>
          <w:kern w:val="0"/>
          <w:sz w:val="24"/>
          <w:szCs w:val="24"/>
          <w:lang w:val="en-US" w:eastAsia="zh-CN"/>
        </w:rPr>
        <w:t>维保工作</w:t>
      </w:r>
      <w:r>
        <w:rPr>
          <w:rFonts w:hint="eastAsia" w:ascii="方正黑体_GBK" w:hAnsi="方正黑体_GBK" w:eastAsia="方正黑体_GBK" w:cs="方正黑体_GBK"/>
          <w:b w:val="0"/>
          <w:bCs/>
          <w:color w:val="auto"/>
          <w:kern w:val="0"/>
          <w:sz w:val="24"/>
          <w:szCs w:val="24"/>
        </w:rPr>
        <w:t>标准</w:t>
      </w:r>
    </w:p>
    <w:tbl>
      <w:tblPr>
        <w:tblStyle w:val="16"/>
        <w:tblW w:w="0" w:type="auto"/>
        <w:tblInd w:w="93" w:type="dxa"/>
        <w:tblLayout w:type="fixed"/>
        <w:tblCellMar>
          <w:top w:w="0" w:type="dxa"/>
          <w:left w:w="108" w:type="dxa"/>
          <w:bottom w:w="0" w:type="dxa"/>
          <w:right w:w="108" w:type="dxa"/>
        </w:tblCellMar>
      </w:tblPr>
      <w:tblGrid>
        <w:gridCol w:w="540"/>
        <w:gridCol w:w="1080"/>
        <w:gridCol w:w="2480"/>
        <w:gridCol w:w="5056"/>
      </w:tblGrid>
      <w:tr w14:paraId="2F4C1F8E">
        <w:tblPrEx>
          <w:tblCellMar>
            <w:top w:w="0" w:type="dxa"/>
            <w:left w:w="108" w:type="dxa"/>
            <w:bottom w:w="0" w:type="dxa"/>
            <w:right w:w="108" w:type="dxa"/>
          </w:tblCellMar>
        </w:tblPrEx>
        <w:trPr>
          <w:trHeight w:val="259" w:hRule="atLeast"/>
        </w:trPr>
        <w:tc>
          <w:tcPr>
            <w:tcW w:w="540" w:type="dxa"/>
            <w:vMerge w:val="restart"/>
            <w:tcBorders>
              <w:top w:val="single" w:color="auto" w:sz="4" w:space="0"/>
              <w:left w:val="single" w:color="auto" w:sz="4" w:space="0"/>
              <w:bottom w:val="single" w:color="000000" w:sz="4" w:space="0"/>
              <w:right w:val="single" w:color="auto" w:sz="4" w:space="0"/>
            </w:tcBorders>
            <w:noWrap w:val="0"/>
            <w:vAlign w:val="center"/>
          </w:tcPr>
          <w:p w14:paraId="0C4770A2">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序号</w:t>
            </w:r>
          </w:p>
        </w:tc>
        <w:tc>
          <w:tcPr>
            <w:tcW w:w="1080" w:type="dxa"/>
            <w:vMerge w:val="restart"/>
            <w:tcBorders>
              <w:top w:val="single" w:color="auto" w:sz="4" w:space="0"/>
              <w:left w:val="single" w:color="auto" w:sz="4" w:space="0"/>
              <w:bottom w:val="single" w:color="000000" w:sz="4" w:space="0"/>
              <w:right w:val="single" w:color="auto" w:sz="4" w:space="0"/>
            </w:tcBorders>
            <w:noWrap w:val="0"/>
            <w:vAlign w:val="center"/>
          </w:tcPr>
          <w:p w14:paraId="0C6A9D16">
            <w:pPr>
              <w:widowControl/>
              <w:jc w:val="center"/>
              <w:rPr>
                <w:rFonts w:hint="default" w:ascii="Times New Roman" w:hAnsi="Times New Roman" w:eastAsia="方正仿宋_GBK" w:cs="Times New Roman"/>
                <w:b/>
                <w:bCs/>
                <w:color w:val="auto"/>
                <w:kern w:val="0"/>
                <w:sz w:val="18"/>
                <w:szCs w:val="18"/>
              </w:rPr>
            </w:pPr>
            <w:r>
              <w:rPr>
                <w:rFonts w:hint="eastAsia" w:ascii="Times New Roman" w:hAnsi="Times New Roman" w:eastAsia="方正仿宋_GBK" w:cs="Times New Roman"/>
                <w:b/>
                <w:bCs/>
                <w:color w:val="auto"/>
                <w:kern w:val="0"/>
                <w:sz w:val="18"/>
                <w:szCs w:val="18"/>
                <w:lang w:val="en-US" w:eastAsia="zh-CN"/>
              </w:rPr>
              <w:t>维保</w:t>
            </w:r>
            <w:r>
              <w:rPr>
                <w:rFonts w:hint="default" w:ascii="Times New Roman" w:hAnsi="Times New Roman" w:eastAsia="方正仿宋_GBK" w:cs="Times New Roman"/>
                <w:b/>
                <w:bCs/>
                <w:color w:val="auto"/>
                <w:kern w:val="0"/>
                <w:sz w:val="18"/>
                <w:szCs w:val="18"/>
              </w:rPr>
              <w:t>部位</w:t>
            </w:r>
          </w:p>
        </w:tc>
        <w:tc>
          <w:tcPr>
            <w:tcW w:w="2480" w:type="dxa"/>
            <w:vMerge w:val="restart"/>
            <w:tcBorders>
              <w:top w:val="single" w:color="auto" w:sz="4" w:space="0"/>
              <w:left w:val="single" w:color="auto" w:sz="4" w:space="0"/>
              <w:bottom w:val="single" w:color="000000" w:sz="4" w:space="0"/>
              <w:right w:val="single" w:color="auto" w:sz="4" w:space="0"/>
            </w:tcBorders>
            <w:noWrap w:val="0"/>
            <w:vAlign w:val="center"/>
          </w:tcPr>
          <w:p w14:paraId="1B3DF38D">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电梯</w:t>
            </w:r>
            <w:r>
              <w:rPr>
                <w:rFonts w:hint="eastAsia" w:ascii="Times New Roman" w:hAnsi="Times New Roman" w:eastAsia="方正仿宋_GBK" w:cs="Times New Roman"/>
                <w:b/>
                <w:bCs/>
                <w:color w:val="auto"/>
                <w:kern w:val="0"/>
                <w:sz w:val="18"/>
                <w:szCs w:val="18"/>
                <w:lang w:val="en-US" w:eastAsia="zh-CN"/>
              </w:rPr>
              <w:t>维保工作</w:t>
            </w:r>
            <w:r>
              <w:rPr>
                <w:rFonts w:hint="default" w:ascii="Times New Roman" w:hAnsi="Times New Roman" w:eastAsia="方正仿宋_GBK" w:cs="Times New Roman"/>
                <w:b/>
                <w:bCs/>
                <w:color w:val="auto"/>
                <w:kern w:val="0"/>
                <w:sz w:val="18"/>
                <w:szCs w:val="18"/>
              </w:rPr>
              <w:t>项目</w:t>
            </w:r>
          </w:p>
        </w:tc>
        <w:tc>
          <w:tcPr>
            <w:tcW w:w="5056" w:type="dxa"/>
            <w:vMerge w:val="restart"/>
            <w:tcBorders>
              <w:top w:val="single" w:color="auto" w:sz="4" w:space="0"/>
              <w:left w:val="single" w:color="auto" w:sz="4" w:space="0"/>
              <w:bottom w:val="single" w:color="000000" w:sz="4" w:space="0"/>
              <w:right w:val="single" w:color="auto" w:sz="4" w:space="0"/>
            </w:tcBorders>
            <w:noWrap w:val="0"/>
            <w:vAlign w:val="center"/>
          </w:tcPr>
          <w:p w14:paraId="76809C9A">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要求</w:t>
            </w:r>
          </w:p>
        </w:tc>
      </w:tr>
      <w:tr w14:paraId="64EE0C01">
        <w:tblPrEx>
          <w:tblCellMar>
            <w:top w:w="0" w:type="dxa"/>
            <w:left w:w="108" w:type="dxa"/>
            <w:bottom w:w="0" w:type="dxa"/>
            <w:right w:w="108" w:type="dxa"/>
          </w:tblCellMar>
        </w:tblPrEx>
        <w:trPr>
          <w:trHeight w:val="259" w:hRule="atLeast"/>
        </w:trPr>
        <w:tc>
          <w:tcPr>
            <w:tcW w:w="540" w:type="dxa"/>
            <w:vMerge w:val="continue"/>
            <w:tcBorders>
              <w:top w:val="single" w:color="auto" w:sz="4" w:space="0"/>
              <w:left w:val="single" w:color="auto" w:sz="4" w:space="0"/>
              <w:bottom w:val="single" w:color="000000" w:sz="4" w:space="0"/>
              <w:right w:val="single" w:color="auto" w:sz="4" w:space="0"/>
            </w:tcBorders>
            <w:noWrap w:val="0"/>
            <w:vAlign w:val="center"/>
          </w:tcPr>
          <w:p w14:paraId="1DD8FDCA">
            <w:pPr>
              <w:widowControl/>
              <w:jc w:val="left"/>
              <w:rPr>
                <w:rFonts w:hint="default" w:ascii="Times New Roman" w:hAnsi="Times New Roman" w:eastAsia="方正仿宋_GBK" w:cs="Times New Roman"/>
                <w:b/>
                <w:bCs/>
                <w:color w:val="auto"/>
                <w:kern w:val="0"/>
                <w:sz w:val="18"/>
                <w:szCs w:val="18"/>
              </w:rPr>
            </w:pPr>
          </w:p>
        </w:tc>
        <w:tc>
          <w:tcPr>
            <w:tcW w:w="1080" w:type="dxa"/>
            <w:vMerge w:val="continue"/>
            <w:tcBorders>
              <w:top w:val="single" w:color="auto" w:sz="4" w:space="0"/>
              <w:left w:val="single" w:color="auto" w:sz="4" w:space="0"/>
              <w:bottom w:val="single" w:color="000000" w:sz="4" w:space="0"/>
              <w:right w:val="single" w:color="auto" w:sz="4" w:space="0"/>
            </w:tcBorders>
            <w:noWrap w:val="0"/>
            <w:vAlign w:val="center"/>
          </w:tcPr>
          <w:p w14:paraId="44AF679A">
            <w:pPr>
              <w:widowControl/>
              <w:jc w:val="left"/>
              <w:rPr>
                <w:rFonts w:hint="default" w:ascii="Times New Roman" w:hAnsi="Times New Roman" w:eastAsia="方正仿宋_GBK" w:cs="Times New Roman"/>
                <w:b/>
                <w:bCs/>
                <w:color w:val="auto"/>
                <w:kern w:val="0"/>
                <w:sz w:val="18"/>
                <w:szCs w:val="18"/>
              </w:rPr>
            </w:pPr>
          </w:p>
        </w:tc>
        <w:tc>
          <w:tcPr>
            <w:tcW w:w="2480" w:type="dxa"/>
            <w:vMerge w:val="continue"/>
            <w:tcBorders>
              <w:top w:val="single" w:color="auto" w:sz="4" w:space="0"/>
              <w:left w:val="single" w:color="auto" w:sz="4" w:space="0"/>
              <w:bottom w:val="single" w:color="000000" w:sz="4" w:space="0"/>
              <w:right w:val="single" w:color="auto" w:sz="4" w:space="0"/>
            </w:tcBorders>
            <w:noWrap w:val="0"/>
            <w:vAlign w:val="center"/>
          </w:tcPr>
          <w:p w14:paraId="4DAFC7D9">
            <w:pPr>
              <w:widowControl/>
              <w:jc w:val="left"/>
              <w:rPr>
                <w:rFonts w:hint="default" w:ascii="Times New Roman" w:hAnsi="Times New Roman" w:eastAsia="方正仿宋_GBK" w:cs="Times New Roman"/>
                <w:b/>
                <w:bCs/>
                <w:color w:val="auto"/>
                <w:kern w:val="0"/>
                <w:sz w:val="18"/>
                <w:szCs w:val="18"/>
              </w:rPr>
            </w:pPr>
          </w:p>
        </w:tc>
        <w:tc>
          <w:tcPr>
            <w:tcW w:w="5056" w:type="dxa"/>
            <w:vMerge w:val="continue"/>
            <w:tcBorders>
              <w:top w:val="single" w:color="auto" w:sz="4" w:space="0"/>
              <w:left w:val="single" w:color="auto" w:sz="4" w:space="0"/>
              <w:bottom w:val="single" w:color="000000" w:sz="4" w:space="0"/>
              <w:right w:val="single" w:color="auto" w:sz="4" w:space="0"/>
            </w:tcBorders>
            <w:noWrap w:val="0"/>
            <w:vAlign w:val="center"/>
          </w:tcPr>
          <w:p w14:paraId="0443EF1E">
            <w:pPr>
              <w:widowControl/>
              <w:jc w:val="left"/>
              <w:rPr>
                <w:rFonts w:hint="default" w:ascii="Times New Roman" w:hAnsi="Times New Roman" w:eastAsia="方正仿宋_GBK" w:cs="Times New Roman"/>
                <w:b/>
                <w:bCs/>
                <w:color w:val="auto"/>
                <w:kern w:val="0"/>
                <w:sz w:val="18"/>
                <w:szCs w:val="18"/>
              </w:rPr>
            </w:pPr>
          </w:p>
        </w:tc>
      </w:tr>
      <w:tr w14:paraId="10975CD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center"/>
          </w:tcPr>
          <w:p w14:paraId="6F0E6708">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1080" w:type="dxa"/>
            <w:tcBorders>
              <w:top w:val="nil"/>
              <w:left w:val="nil"/>
              <w:bottom w:val="single" w:color="auto" w:sz="4" w:space="0"/>
              <w:right w:val="single" w:color="auto" w:sz="4" w:space="0"/>
            </w:tcBorders>
            <w:noWrap w:val="0"/>
            <w:vAlign w:val="center"/>
          </w:tcPr>
          <w:p w14:paraId="4E827145">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2480" w:type="dxa"/>
            <w:tcBorders>
              <w:top w:val="nil"/>
              <w:left w:val="nil"/>
              <w:bottom w:val="single" w:color="auto" w:sz="4" w:space="0"/>
              <w:right w:val="single" w:color="auto" w:sz="4" w:space="0"/>
            </w:tcBorders>
            <w:noWrap w:val="0"/>
            <w:vAlign w:val="top"/>
          </w:tcPr>
          <w:p w14:paraId="7132179F">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一、</w:t>
            </w:r>
            <w:r>
              <w:rPr>
                <w:rFonts w:hint="default" w:ascii="Times New Roman" w:hAnsi="Times New Roman" w:eastAsia="方正仿宋_GBK" w:cs="Times New Roman"/>
                <w:b/>
                <w:bCs/>
                <w:color w:val="auto"/>
                <w:kern w:val="0"/>
                <w:sz w:val="18"/>
                <w:szCs w:val="18"/>
              </w:rPr>
              <w:t>准备工作</w:t>
            </w:r>
          </w:p>
        </w:tc>
        <w:tc>
          <w:tcPr>
            <w:tcW w:w="5056" w:type="dxa"/>
            <w:tcBorders>
              <w:top w:val="nil"/>
              <w:left w:val="nil"/>
              <w:bottom w:val="single" w:color="auto" w:sz="4" w:space="0"/>
              <w:right w:val="single" w:color="auto" w:sz="4" w:space="0"/>
            </w:tcBorders>
            <w:noWrap w:val="0"/>
            <w:vAlign w:val="center"/>
          </w:tcPr>
          <w:p w14:paraId="59F23DDE">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r>
      <w:tr w14:paraId="40FBC5A2">
        <w:tblPrEx>
          <w:tblCellMar>
            <w:top w:w="0" w:type="dxa"/>
            <w:left w:w="108" w:type="dxa"/>
            <w:bottom w:w="0" w:type="dxa"/>
            <w:right w:w="108" w:type="dxa"/>
          </w:tblCellMar>
        </w:tblPrEx>
        <w:trPr>
          <w:trHeight w:val="90" w:hRule="atLeast"/>
        </w:trPr>
        <w:tc>
          <w:tcPr>
            <w:tcW w:w="540" w:type="dxa"/>
            <w:tcBorders>
              <w:top w:val="nil"/>
              <w:left w:val="single" w:color="auto" w:sz="4" w:space="0"/>
              <w:bottom w:val="single" w:color="auto" w:sz="4" w:space="0"/>
              <w:right w:val="single" w:color="auto" w:sz="4" w:space="0"/>
            </w:tcBorders>
            <w:noWrap w:val="0"/>
            <w:vAlign w:val="top"/>
          </w:tcPr>
          <w:p w14:paraId="3ACB22B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w:t>
            </w:r>
          </w:p>
        </w:tc>
        <w:tc>
          <w:tcPr>
            <w:tcW w:w="1080" w:type="dxa"/>
            <w:vMerge w:val="restart"/>
            <w:tcBorders>
              <w:top w:val="nil"/>
              <w:left w:val="single" w:color="auto" w:sz="4" w:space="0"/>
              <w:bottom w:val="single" w:color="000000" w:sz="4" w:space="0"/>
              <w:right w:val="single" w:color="auto" w:sz="4" w:space="0"/>
            </w:tcBorders>
            <w:noWrap w:val="0"/>
            <w:vAlign w:val="top"/>
          </w:tcPr>
          <w:p w14:paraId="05E15F1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480" w:type="dxa"/>
            <w:tcBorders>
              <w:top w:val="nil"/>
              <w:left w:val="nil"/>
              <w:bottom w:val="single" w:color="auto" w:sz="4" w:space="0"/>
              <w:right w:val="single" w:color="auto" w:sz="4" w:space="0"/>
            </w:tcBorders>
            <w:noWrap w:val="0"/>
            <w:vAlign w:val="top"/>
          </w:tcPr>
          <w:p w14:paraId="3F179F95">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客户沟通</w:t>
            </w:r>
          </w:p>
        </w:tc>
        <w:tc>
          <w:tcPr>
            <w:tcW w:w="5056" w:type="dxa"/>
            <w:tcBorders>
              <w:top w:val="nil"/>
              <w:left w:val="nil"/>
              <w:bottom w:val="single" w:color="auto" w:sz="4" w:space="0"/>
              <w:right w:val="single" w:color="auto" w:sz="4" w:space="0"/>
            </w:tcBorders>
            <w:noWrap w:val="0"/>
            <w:vAlign w:val="top"/>
          </w:tcPr>
          <w:p w14:paraId="4333A617">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了解电梯近期的运行情况，通知客户</w:t>
            </w:r>
            <w:r>
              <w:rPr>
                <w:rFonts w:hint="eastAsia" w:ascii="Times New Roman" w:hAnsi="Times New Roman" w:eastAsia="方正仿宋_GBK" w:cs="Times New Roman"/>
                <w:color w:val="auto"/>
                <w:kern w:val="0"/>
                <w:sz w:val="18"/>
                <w:szCs w:val="18"/>
                <w:lang w:val="en-US" w:eastAsia="zh-CN"/>
              </w:rPr>
              <w:t>维护</w:t>
            </w:r>
            <w:r>
              <w:rPr>
                <w:rFonts w:hint="default" w:ascii="Times New Roman" w:hAnsi="Times New Roman" w:eastAsia="方正仿宋_GBK" w:cs="Times New Roman"/>
                <w:color w:val="auto"/>
                <w:kern w:val="0"/>
                <w:sz w:val="18"/>
                <w:szCs w:val="18"/>
              </w:rPr>
              <w:t>保养开始</w:t>
            </w:r>
          </w:p>
        </w:tc>
      </w:tr>
      <w:tr w14:paraId="2DD19235">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DC282F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0CF729E">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top"/>
          </w:tcPr>
          <w:p w14:paraId="574BF5CB">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警示标记</w:t>
            </w:r>
          </w:p>
        </w:tc>
        <w:tc>
          <w:tcPr>
            <w:tcW w:w="5056" w:type="dxa"/>
            <w:tcBorders>
              <w:top w:val="nil"/>
              <w:left w:val="nil"/>
              <w:bottom w:val="single" w:color="auto" w:sz="4" w:space="0"/>
              <w:right w:val="single" w:color="auto" w:sz="4" w:space="0"/>
            </w:tcBorders>
            <w:noWrap w:val="0"/>
            <w:vAlign w:val="top"/>
          </w:tcPr>
          <w:p w14:paraId="685E27E0">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设置安全警示牌，确认轿厢内无乘客</w:t>
            </w:r>
          </w:p>
        </w:tc>
      </w:tr>
      <w:tr w14:paraId="32E767F9">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D20DE2A">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1080" w:type="dxa"/>
            <w:tcBorders>
              <w:top w:val="nil"/>
              <w:left w:val="nil"/>
              <w:bottom w:val="single" w:color="auto" w:sz="4" w:space="0"/>
              <w:right w:val="single" w:color="auto" w:sz="4" w:space="0"/>
            </w:tcBorders>
            <w:noWrap w:val="0"/>
            <w:vAlign w:val="top"/>
          </w:tcPr>
          <w:p w14:paraId="7942CFA9">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2480" w:type="dxa"/>
            <w:tcBorders>
              <w:top w:val="nil"/>
              <w:left w:val="nil"/>
              <w:bottom w:val="single" w:color="auto" w:sz="4" w:space="0"/>
              <w:right w:val="single" w:color="auto" w:sz="4" w:space="0"/>
            </w:tcBorders>
            <w:noWrap w:val="0"/>
            <w:vAlign w:val="top"/>
          </w:tcPr>
          <w:p w14:paraId="11618322">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二、</w:t>
            </w:r>
            <w:r>
              <w:rPr>
                <w:rFonts w:hint="default" w:ascii="Times New Roman" w:hAnsi="Times New Roman" w:eastAsia="方正仿宋_GBK" w:cs="Times New Roman"/>
                <w:b/>
                <w:bCs/>
                <w:color w:val="auto"/>
                <w:kern w:val="0"/>
                <w:sz w:val="18"/>
                <w:szCs w:val="18"/>
              </w:rPr>
              <w:t>电梯厅，轿厢</w:t>
            </w:r>
          </w:p>
        </w:tc>
        <w:tc>
          <w:tcPr>
            <w:tcW w:w="5056" w:type="dxa"/>
            <w:tcBorders>
              <w:top w:val="nil"/>
              <w:left w:val="nil"/>
              <w:bottom w:val="single" w:color="auto" w:sz="4" w:space="0"/>
              <w:right w:val="single" w:color="auto" w:sz="4" w:space="0"/>
            </w:tcBorders>
            <w:noWrap w:val="0"/>
            <w:vAlign w:val="top"/>
          </w:tcPr>
          <w:p w14:paraId="13C36848">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r>
      <w:tr w14:paraId="2379CCB4">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2BCDCB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w:t>
            </w:r>
          </w:p>
        </w:tc>
        <w:tc>
          <w:tcPr>
            <w:tcW w:w="1080" w:type="dxa"/>
            <w:vMerge w:val="restart"/>
            <w:tcBorders>
              <w:top w:val="nil"/>
              <w:left w:val="single" w:color="auto" w:sz="4" w:space="0"/>
              <w:bottom w:val="single" w:color="000000" w:sz="4" w:space="0"/>
              <w:right w:val="single" w:color="auto" w:sz="4" w:space="0"/>
            </w:tcBorders>
            <w:noWrap w:val="0"/>
            <w:vAlign w:val="center"/>
          </w:tcPr>
          <w:p w14:paraId="1585B1C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基站</w:t>
            </w:r>
          </w:p>
        </w:tc>
        <w:tc>
          <w:tcPr>
            <w:tcW w:w="2480" w:type="dxa"/>
            <w:tcBorders>
              <w:top w:val="nil"/>
              <w:left w:val="nil"/>
              <w:bottom w:val="single" w:color="auto" w:sz="4" w:space="0"/>
              <w:right w:val="single" w:color="auto" w:sz="4" w:space="0"/>
            </w:tcBorders>
            <w:noWrap w:val="0"/>
            <w:vAlign w:val="center"/>
          </w:tcPr>
          <w:p w14:paraId="1DD8E99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锁梯开关、消防盒</w:t>
            </w:r>
          </w:p>
        </w:tc>
        <w:tc>
          <w:tcPr>
            <w:tcW w:w="5056" w:type="dxa"/>
            <w:tcBorders>
              <w:top w:val="nil"/>
              <w:left w:val="nil"/>
              <w:bottom w:val="single" w:color="auto" w:sz="4" w:space="0"/>
              <w:right w:val="single" w:color="auto" w:sz="4" w:space="0"/>
            </w:tcBorders>
            <w:noWrap w:val="0"/>
            <w:vAlign w:val="center"/>
          </w:tcPr>
          <w:p w14:paraId="6B289CF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开关功能正常。消防盒完好</w:t>
            </w:r>
          </w:p>
        </w:tc>
      </w:tr>
      <w:tr w14:paraId="50070C3C">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0AE814B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B804F70">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B113EB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门探测装置</w:t>
            </w:r>
          </w:p>
        </w:tc>
        <w:tc>
          <w:tcPr>
            <w:tcW w:w="5056" w:type="dxa"/>
            <w:tcBorders>
              <w:top w:val="nil"/>
              <w:left w:val="nil"/>
              <w:bottom w:val="single" w:color="auto" w:sz="4" w:space="0"/>
              <w:right w:val="single" w:color="auto" w:sz="4" w:space="0"/>
            </w:tcBorders>
            <w:noWrap w:val="0"/>
            <w:vAlign w:val="center"/>
          </w:tcPr>
          <w:p w14:paraId="2B48F23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功能正常，清洁灰尘和脏物</w:t>
            </w:r>
          </w:p>
        </w:tc>
      </w:tr>
      <w:tr w14:paraId="63F9186C">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DD69CA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15C1EA9">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568A6B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关门力限制器、强迫关门</w:t>
            </w:r>
          </w:p>
        </w:tc>
        <w:tc>
          <w:tcPr>
            <w:tcW w:w="5056" w:type="dxa"/>
            <w:tcBorders>
              <w:top w:val="nil"/>
              <w:left w:val="nil"/>
              <w:bottom w:val="single" w:color="auto" w:sz="4" w:space="0"/>
              <w:right w:val="single" w:color="auto" w:sz="4" w:space="0"/>
            </w:tcBorders>
            <w:noWrap w:val="0"/>
            <w:vAlign w:val="center"/>
          </w:tcPr>
          <w:p w14:paraId="6AC4FA9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w:t>
            </w:r>
          </w:p>
        </w:tc>
      </w:tr>
      <w:tr w14:paraId="23ABF09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4CDB62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FCBCE93">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9AD256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报警装置、警铃</w:t>
            </w:r>
          </w:p>
        </w:tc>
        <w:tc>
          <w:tcPr>
            <w:tcW w:w="5056" w:type="dxa"/>
            <w:tcBorders>
              <w:top w:val="nil"/>
              <w:left w:val="nil"/>
              <w:bottom w:val="single" w:color="auto" w:sz="4" w:space="0"/>
              <w:right w:val="single" w:color="auto" w:sz="4" w:space="0"/>
            </w:tcBorders>
            <w:noWrap w:val="0"/>
            <w:vAlign w:val="center"/>
          </w:tcPr>
          <w:p w14:paraId="733FED5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与</w:t>
            </w:r>
            <w:r>
              <w:rPr>
                <w:rFonts w:hint="default" w:ascii="Times New Roman" w:hAnsi="Times New Roman" w:eastAsia="方正仿宋_GBK" w:cs="Times New Roman"/>
                <w:color w:val="auto"/>
                <w:kern w:val="0"/>
                <w:sz w:val="18"/>
                <w:szCs w:val="18"/>
                <w:lang w:val="en-US" w:eastAsia="zh-CN"/>
              </w:rPr>
              <w:t>甲方</w:t>
            </w:r>
            <w:r>
              <w:rPr>
                <w:rFonts w:hint="default" w:ascii="Times New Roman" w:hAnsi="Times New Roman" w:eastAsia="方正仿宋_GBK" w:cs="Times New Roman"/>
                <w:color w:val="auto"/>
                <w:kern w:val="0"/>
                <w:sz w:val="18"/>
                <w:szCs w:val="18"/>
              </w:rPr>
              <w:t>监控中心配合进行，功能正常</w:t>
            </w:r>
          </w:p>
        </w:tc>
      </w:tr>
      <w:tr w14:paraId="7473A0B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D5A4EC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7</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33B1571">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EC40C3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通讯系统</w:t>
            </w:r>
          </w:p>
        </w:tc>
        <w:tc>
          <w:tcPr>
            <w:tcW w:w="5056" w:type="dxa"/>
            <w:tcBorders>
              <w:top w:val="nil"/>
              <w:left w:val="nil"/>
              <w:bottom w:val="single" w:color="auto" w:sz="4" w:space="0"/>
              <w:right w:val="single" w:color="auto" w:sz="4" w:space="0"/>
            </w:tcBorders>
            <w:noWrap w:val="0"/>
            <w:vAlign w:val="center"/>
          </w:tcPr>
          <w:p w14:paraId="6CAD807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与</w:t>
            </w:r>
            <w:r>
              <w:rPr>
                <w:rFonts w:hint="default" w:ascii="Times New Roman" w:hAnsi="Times New Roman" w:eastAsia="方正仿宋_GBK" w:cs="Times New Roman"/>
                <w:color w:val="auto"/>
                <w:kern w:val="0"/>
                <w:sz w:val="18"/>
                <w:szCs w:val="18"/>
                <w:lang w:val="en-US" w:eastAsia="zh-CN"/>
              </w:rPr>
              <w:t>甲方</w:t>
            </w:r>
            <w:r>
              <w:rPr>
                <w:rFonts w:hint="default" w:ascii="Times New Roman" w:hAnsi="Times New Roman" w:eastAsia="方正仿宋_GBK" w:cs="Times New Roman"/>
                <w:color w:val="auto"/>
                <w:kern w:val="0"/>
                <w:sz w:val="18"/>
                <w:szCs w:val="18"/>
              </w:rPr>
              <w:t>监控中心配合进行，功能正常</w:t>
            </w:r>
          </w:p>
        </w:tc>
      </w:tr>
      <w:tr w14:paraId="617FCF2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3463FB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8</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667C22D">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06BA2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轿厢照明</w:t>
            </w:r>
          </w:p>
        </w:tc>
        <w:tc>
          <w:tcPr>
            <w:tcW w:w="5056" w:type="dxa"/>
            <w:tcBorders>
              <w:top w:val="nil"/>
              <w:left w:val="nil"/>
              <w:bottom w:val="single" w:color="auto" w:sz="4" w:space="0"/>
              <w:right w:val="single" w:color="auto" w:sz="4" w:space="0"/>
            </w:tcBorders>
            <w:noWrap w:val="0"/>
            <w:vAlign w:val="center"/>
          </w:tcPr>
          <w:p w14:paraId="6D97150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灯管和灯架完好</w:t>
            </w:r>
          </w:p>
        </w:tc>
      </w:tr>
      <w:tr w14:paraId="2EE6065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5444F2E">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9</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1FE1B1B">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5F6C32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所有轿内操纵箱开关</w:t>
            </w:r>
          </w:p>
        </w:tc>
        <w:tc>
          <w:tcPr>
            <w:tcW w:w="5056" w:type="dxa"/>
            <w:tcBorders>
              <w:top w:val="nil"/>
              <w:left w:val="nil"/>
              <w:bottom w:val="single" w:color="auto" w:sz="4" w:space="0"/>
              <w:right w:val="single" w:color="auto" w:sz="4" w:space="0"/>
            </w:tcBorders>
            <w:noWrap w:val="0"/>
            <w:vAlign w:val="center"/>
          </w:tcPr>
          <w:p w14:paraId="6EB6B7C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开关功能正常</w:t>
            </w:r>
          </w:p>
        </w:tc>
      </w:tr>
      <w:tr w14:paraId="585FC0BE">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968B5A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10</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CD8947E">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DFA12B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超满载测试</w:t>
            </w:r>
          </w:p>
        </w:tc>
        <w:tc>
          <w:tcPr>
            <w:tcW w:w="5056" w:type="dxa"/>
            <w:tcBorders>
              <w:top w:val="nil"/>
              <w:left w:val="nil"/>
              <w:bottom w:val="single" w:color="auto" w:sz="4" w:space="0"/>
              <w:right w:val="single" w:color="auto" w:sz="4" w:space="0"/>
            </w:tcBorders>
            <w:noWrap w:val="0"/>
            <w:vAlign w:val="center"/>
          </w:tcPr>
          <w:p w14:paraId="455C1D8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w:t>
            </w:r>
          </w:p>
        </w:tc>
      </w:tr>
      <w:tr w14:paraId="4A9158B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1589FC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11</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19A2EBC">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E7B2E9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应急照明</w:t>
            </w:r>
          </w:p>
        </w:tc>
        <w:tc>
          <w:tcPr>
            <w:tcW w:w="5056" w:type="dxa"/>
            <w:tcBorders>
              <w:top w:val="nil"/>
              <w:left w:val="nil"/>
              <w:bottom w:val="single" w:color="auto" w:sz="4" w:space="0"/>
              <w:right w:val="single" w:color="auto" w:sz="4" w:space="0"/>
            </w:tcBorders>
            <w:noWrap w:val="0"/>
            <w:vAlign w:val="center"/>
          </w:tcPr>
          <w:p w14:paraId="59BC5A0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电梯断电检查，功能正常</w:t>
            </w:r>
          </w:p>
        </w:tc>
      </w:tr>
      <w:tr w14:paraId="6DDEC85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835976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12</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28AEC51">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B8DB2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轿厢外观</w:t>
            </w:r>
          </w:p>
        </w:tc>
        <w:tc>
          <w:tcPr>
            <w:tcW w:w="5056" w:type="dxa"/>
            <w:tcBorders>
              <w:top w:val="nil"/>
              <w:left w:val="nil"/>
              <w:bottom w:val="single" w:color="auto" w:sz="4" w:space="0"/>
              <w:right w:val="single" w:color="auto" w:sz="4" w:space="0"/>
            </w:tcBorders>
            <w:noWrap w:val="0"/>
            <w:vAlign w:val="center"/>
          </w:tcPr>
          <w:p w14:paraId="089299B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整洁无损伤，检查并记录</w:t>
            </w:r>
          </w:p>
        </w:tc>
      </w:tr>
      <w:tr w14:paraId="0E939EA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C613A5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13</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3A172FC">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BD71E9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轿门嵌条</w:t>
            </w:r>
          </w:p>
        </w:tc>
        <w:tc>
          <w:tcPr>
            <w:tcW w:w="5056" w:type="dxa"/>
            <w:tcBorders>
              <w:top w:val="nil"/>
              <w:left w:val="nil"/>
              <w:bottom w:val="single" w:color="auto" w:sz="4" w:space="0"/>
              <w:right w:val="single" w:color="auto" w:sz="4" w:space="0"/>
            </w:tcBorders>
            <w:noWrap w:val="0"/>
            <w:vAlign w:val="center"/>
          </w:tcPr>
          <w:p w14:paraId="705AF57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完整，不拖地</w:t>
            </w:r>
          </w:p>
        </w:tc>
      </w:tr>
      <w:tr w14:paraId="3C536A6B">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03B7224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14</w:t>
            </w:r>
          </w:p>
        </w:tc>
        <w:tc>
          <w:tcPr>
            <w:tcW w:w="1080" w:type="dxa"/>
            <w:vMerge w:val="restart"/>
            <w:tcBorders>
              <w:top w:val="nil"/>
              <w:left w:val="single" w:color="auto" w:sz="4" w:space="0"/>
              <w:bottom w:val="single" w:color="000000" w:sz="4" w:space="0"/>
              <w:right w:val="single" w:color="auto" w:sz="4" w:space="0"/>
            </w:tcBorders>
            <w:noWrap w:val="0"/>
            <w:vAlign w:val="center"/>
          </w:tcPr>
          <w:p w14:paraId="7BED668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逐层检查</w:t>
            </w:r>
          </w:p>
        </w:tc>
        <w:tc>
          <w:tcPr>
            <w:tcW w:w="2480" w:type="dxa"/>
            <w:tcBorders>
              <w:top w:val="nil"/>
              <w:left w:val="nil"/>
              <w:bottom w:val="single" w:color="auto" w:sz="4" w:space="0"/>
              <w:right w:val="single" w:color="auto" w:sz="4" w:space="0"/>
            </w:tcBorders>
            <w:noWrap w:val="0"/>
            <w:vAlign w:val="center"/>
          </w:tcPr>
          <w:p w14:paraId="1F12F59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厅外层显和方向指示灯</w:t>
            </w:r>
          </w:p>
        </w:tc>
        <w:tc>
          <w:tcPr>
            <w:tcW w:w="5056" w:type="dxa"/>
            <w:tcBorders>
              <w:top w:val="nil"/>
              <w:left w:val="nil"/>
              <w:bottom w:val="single" w:color="auto" w:sz="4" w:space="0"/>
              <w:right w:val="single" w:color="auto" w:sz="4" w:space="0"/>
            </w:tcBorders>
            <w:noWrap w:val="0"/>
            <w:vAlign w:val="center"/>
          </w:tcPr>
          <w:p w14:paraId="05904BD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楼层和方向显示正常，无缺笔画，清洁灰尘和脏物</w:t>
            </w:r>
          </w:p>
        </w:tc>
      </w:tr>
      <w:tr w14:paraId="7154E8EB">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945784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15</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DC2F1E9">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C12043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厅外召唤</w:t>
            </w:r>
          </w:p>
        </w:tc>
        <w:tc>
          <w:tcPr>
            <w:tcW w:w="5056" w:type="dxa"/>
            <w:tcBorders>
              <w:top w:val="nil"/>
              <w:left w:val="nil"/>
              <w:bottom w:val="single" w:color="auto" w:sz="4" w:space="0"/>
              <w:right w:val="single" w:color="auto" w:sz="4" w:space="0"/>
            </w:tcBorders>
            <w:noWrap w:val="0"/>
            <w:vAlign w:val="center"/>
          </w:tcPr>
          <w:p w14:paraId="4716948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功能正常、灵敏，面板无松动</w:t>
            </w:r>
          </w:p>
        </w:tc>
      </w:tr>
      <w:tr w14:paraId="21F19F74">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B8C3085">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16</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44B8161">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9CA85F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到站钟</w:t>
            </w:r>
          </w:p>
        </w:tc>
        <w:tc>
          <w:tcPr>
            <w:tcW w:w="5056" w:type="dxa"/>
            <w:tcBorders>
              <w:top w:val="nil"/>
              <w:left w:val="nil"/>
              <w:bottom w:val="single" w:color="auto" w:sz="4" w:space="0"/>
              <w:right w:val="single" w:color="auto" w:sz="4" w:space="0"/>
            </w:tcBorders>
            <w:noWrap w:val="0"/>
            <w:vAlign w:val="center"/>
          </w:tcPr>
          <w:p w14:paraId="3AA4786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w:t>
            </w:r>
          </w:p>
        </w:tc>
      </w:tr>
      <w:tr w14:paraId="3860F2C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0D0ADC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17</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E9ADDBE">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24F278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轿厢层显和方向指示灯</w:t>
            </w:r>
          </w:p>
        </w:tc>
        <w:tc>
          <w:tcPr>
            <w:tcW w:w="5056" w:type="dxa"/>
            <w:tcBorders>
              <w:top w:val="nil"/>
              <w:left w:val="nil"/>
              <w:bottom w:val="single" w:color="auto" w:sz="4" w:space="0"/>
              <w:right w:val="single" w:color="auto" w:sz="4" w:space="0"/>
            </w:tcBorders>
            <w:noWrap w:val="0"/>
            <w:vAlign w:val="center"/>
          </w:tcPr>
          <w:p w14:paraId="40FD4EF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楼层和方向显示正常，无缺笔画，清洁灰尘和脏物</w:t>
            </w:r>
          </w:p>
        </w:tc>
      </w:tr>
      <w:tr w14:paraId="508D7DD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AC0348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18</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821D579">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2BC3FE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轿内指令按钮</w:t>
            </w:r>
          </w:p>
        </w:tc>
        <w:tc>
          <w:tcPr>
            <w:tcW w:w="5056" w:type="dxa"/>
            <w:tcBorders>
              <w:top w:val="nil"/>
              <w:left w:val="nil"/>
              <w:bottom w:val="single" w:color="auto" w:sz="4" w:space="0"/>
              <w:right w:val="single" w:color="auto" w:sz="4" w:space="0"/>
            </w:tcBorders>
            <w:noWrap w:val="0"/>
            <w:vAlign w:val="center"/>
          </w:tcPr>
          <w:p w14:paraId="7470E8D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功能正常、灵敏</w:t>
            </w:r>
          </w:p>
        </w:tc>
      </w:tr>
      <w:tr w14:paraId="393B1B8B">
        <w:tblPrEx>
          <w:tblCellMar>
            <w:top w:w="0" w:type="dxa"/>
            <w:left w:w="108" w:type="dxa"/>
            <w:bottom w:w="0" w:type="dxa"/>
            <w:right w:w="108" w:type="dxa"/>
          </w:tblCellMar>
        </w:tblPrEx>
        <w:trPr>
          <w:trHeight w:val="225" w:hRule="atLeast"/>
        </w:trPr>
        <w:tc>
          <w:tcPr>
            <w:tcW w:w="540" w:type="dxa"/>
            <w:tcBorders>
              <w:top w:val="nil"/>
              <w:left w:val="single" w:color="auto" w:sz="4" w:space="0"/>
              <w:bottom w:val="single" w:color="auto" w:sz="4" w:space="0"/>
              <w:right w:val="single" w:color="auto" w:sz="4" w:space="0"/>
            </w:tcBorders>
            <w:noWrap w:val="0"/>
            <w:vAlign w:val="top"/>
          </w:tcPr>
          <w:p w14:paraId="7EBE115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19</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2A64785">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47CC14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平层精度</w:t>
            </w:r>
          </w:p>
        </w:tc>
        <w:tc>
          <w:tcPr>
            <w:tcW w:w="5056" w:type="dxa"/>
            <w:tcBorders>
              <w:top w:val="nil"/>
              <w:left w:val="nil"/>
              <w:bottom w:val="single" w:color="auto" w:sz="4" w:space="0"/>
              <w:right w:val="single" w:color="auto" w:sz="4" w:space="0"/>
            </w:tcBorders>
            <w:noWrap w:val="0"/>
            <w:vAlign w:val="center"/>
          </w:tcPr>
          <w:p w14:paraId="7E9380E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轿厢地坎不低于厅门地坎，高度差≤±7mm</w:t>
            </w:r>
          </w:p>
        </w:tc>
      </w:tr>
      <w:tr w14:paraId="793F176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DA07FE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20</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EF13C0C">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74B6CA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厅、轿门垂直度</w:t>
            </w:r>
          </w:p>
        </w:tc>
        <w:tc>
          <w:tcPr>
            <w:tcW w:w="5056" w:type="dxa"/>
            <w:tcBorders>
              <w:top w:val="nil"/>
              <w:left w:val="nil"/>
              <w:bottom w:val="single" w:color="auto" w:sz="4" w:space="0"/>
              <w:right w:val="single" w:color="auto" w:sz="4" w:space="0"/>
            </w:tcBorders>
            <w:noWrap w:val="0"/>
            <w:vAlign w:val="center"/>
          </w:tcPr>
          <w:p w14:paraId="3563C06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垂直偏差≤1/1000，门缝上下一致</w:t>
            </w:r>
          </w:p>
        </w:tc>
      </w:tr>
      <w:tr w14:paraId="068E3CC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E68E6F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21</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523C444">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E9B3E9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开关门运行</w:t>
            </w:r>
          </w:p>
        </w:tc>
        <w:tc>
          <w:tcPr>
            <w:tcW w:w="5056" w:type="dxa"/>
            <w:tcBorders>
              <w:top w:val="nil"/>
              <w:left w:val="nil"/>
              <w:bottom w:val="single" w:color="auto" w:sz="4" w:space="0"/>
              <w:right w:val="single" w:color="auto" w:sz="4" w:space="0"/>
            </w:tcBorders>
            <w:noWrap w:val="0"/>
            <w:vAlign w:val="center"/>
          </w:tcPr>
          <w:p w14:paraId="411C88F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无撞击声及其它异声</w:t>
            </w:r>
          </w:p>
        </w:tc>
      </w:tr>
      <w:tr w14:paraId="34D188BE">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88B913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22</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39B4EC6">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4FEDDA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厅门外观</w:t>
            </w:r>
          </w:p>
        </w:tc>
        <w:tc>
          <w:tcPr>
            <w:tcW w:w="5056" w:type="dxa"/>
            <w:tcBorders>
              <w:top w:val="nil"/>
              <w:left w:val="nil"/>
              <w:bottom w:val="single" w:color="auto" w:sz="4" w:space="0"/>
              <w:right w:val="single" w:color="auto" w:sz="4" w:space="0"/>
            </w:tcBorders>
            <w:noWrap w:val="0"/>
            <w:vAlign w:val="center"/>
          </w:tcPr>
          <w:p w14:paraId="685C4A7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整洁无损伤，检查并记录</w:t>
            </w:r>
          </w:p>
        </w:tc>
      </w:tr>
      <w:tr w14:paraId="0E50D3F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089AD92E">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1080" w:type="dxa"/>
            <w:tcBorders>
              <w:top w:val="nil"/>
              <w:left w:val="nil"/>
              <w:bottom w:val="single" w:color="auto" w:sz="4" w:space="0"/>
              <w:right w:val="single" w:color="auto" w:sz="4" w:space="0"/>
            </w:tcBorders>
            <w:noWrap w:val="0"/>
            <w:vAlign w:val="top"/>
          </w:tcPr>
          <w:p w14:paraId="08BF4DD3">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2480" w:type="dxa"/>
            <w:tcBorders>
              <w:top w:val="nil"/>
              <w:left w:val="nil"/>
              <w:bottom w:val="single" w:color="auto" w:sz="4" w:space="0"/>
              <w:right w:val="single" w:color="auto" w:sz="4" w:space="0"/>
            </w:tcBorders>
            <w:noWrap w:val="0"/>
            <w:vAlign w:val="top"/>
          </w:tcPr>
          <w:p w14:paraId="745E39CB">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三、</w:t>
            </w:r>
            <w:r>
              <w:rPr>
                <w:rFonts w:hint="default" w:ascii="Times New Roman" w:hAnsi="Times New Roman" w:eastAsia="方正仿宋_GBK" w:cs="Times New Roman"/>
                <w:b/>
                <w:bCs/>
                <w:color w:val="auto"/>
                <w:kern w:val="0"/>
                <w:sz w:val="18"/>
                <w:szCs w:val="18"/>
              </w:rPr>
              <w:t>机房</w:t>
            </w:r>
          </w:p>
        </w:tc>
        <w:tc>
          <w:tcPr>
            <w:tcW w:w="5056" w:type="dxa"/>
            <w:tcBorders>
              <w:top w:val="nil"/>
              <w:left w:val="nil"/>
              <w:bottom w:val="single" w:color="auto" w:sz="4" w:space="0"/>
              <w:right w:val="single" w:color="auto" w:sz="4" w:space="0"/>
            </w:tcBorders>
            <w:noWrap w:val="0"/>
            <w:vAlign w:val="top"/>
          </w:tcPr>
          <w:p w14:paraId="0712B920">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r>
      <w:tr w14:paraId="19313363">
        <w:tblPrEx>
          <w:tblCellMar>
            <w:top w:w="0" w:type="dxa"/>
            <w:left w:w="108" w:type="dxa"/>
            <w:bottom w:w="0" w:type="dxa"/>
            <w:right w:w="108" w:type="dxa"/>
          </w:tblCellMar>
        </w:tblPrEx>
        <w:trPr>
          <w:trHeight w:val="97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B50690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23</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FCCE0E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机组</w:t>
            </w:r>
          </w:p>
        </w:tc>
        <w:tc>
          <w:tcPr>
            <w:tcW w:w="2480" w:type="dxa"/>
            <w:tcBorders>
              <w:top w:val="single" w:color="auto" w:sz="4" w:space="0"/>
              <w:left w:val="nil"/>
              <w:bottom w:val="single" w:color="auto" w:sz="4" w:space="0"/>
              <w:right w:val="single" w:color="auto" w:sz="4" w:space="0"/>
            </w:tcBorders>
            <w:noWrap w:val="0"/>
            <w:vAlign w:val="center"/>
          </w:tcPr>
          <w:p w14:paraId="5C94E5C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抱闸检查</w:t>
            </w:r>
          </w:p>
        </w:tc>
        <w:tc>
          <w:tcPr>
            <w:tcW w:w="5056" w:type="dxa"/>
            <w:tcBorders>
              <w:top w:val="single" w:color="auto" w:sz="4" w:space="0"/>
              <w:left w:val="nil"/>
              <w:bottom w:val="single" w:color="auto" w:sz="4" w:space="0"/>
              <w:right w:val="single" w:color="auto" w:sz="4" w:space="0"/>
            </w:tcBorders>
            <w:noWrap w:val="0"/>
            <w:vAlign w:val="center"/>
          </w:tcPr>
          <w:p w14:paraId="2D1E7B7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动作灵活，制动时闸瓦均匀紧密贴合在制动轮工作面上，松闸时两侧闸瓦同步离开；抱闸各项尺寸符合技术规范。 检查闸瓦磨损情况，确定是否有必要更换及估计何时更换</w:t>
            </w:r>
          </w:p>
        </w:tc>
      </w:tr>
      <w:tr w14:paraId="3AA3794A">
        <w:tblPrEx>
          <w:tblCellMar>
            <w:top w:w="0" w:type="dxa"/>
            <w:left w:w="108" w:type="dxa"/>
            <w:bottom w:w="0" w:type="dxa"/>
            <w:right w:w="108" w:type="dxa"/>
          </w:tblCellMar>
        </w:tblPrEx>
        <w:trPr>
          <w:trHeight w:val="25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16B4027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24</w:t>
            </w:r>
          </w:p>
        </w:tc>
        <w:tc>
          <w:tcPr>
            <w:tcW w:w="1080" w:type="dxa"/>
            <w:vMerge w:val="continue"/>
            <w:tcBorders>
              <w:top w:val="single" w:color="auto" w:sz="4" w:space="0"/>
              <w:left w:val="single" w:color="auto" w:sz="4" w:space="0"/>
              <w:bottom w:val="single" w:color="000000" w:sz="4" w:space="0"/>
              <w:right w:val="single" w:color="auto" w:sz="4" w:space="0"/>
            </w:tcBorders>
            <w:noWrap w:val="0"/>
            <w:vAlign w:val="center"/>
          </w:tcPr>
          <w:p w14:paraId="25D88697">
            <w:pPr>
              <w:widowControl/>
              <w:jc w:val="left"/>
              <w:rPr>
                <w:rFonts w:hint="default" w:ascii="Times New Roman" w:hAnsi="Times New Roman" w:eastAsia="方正仿宋_GBK" w:cs="Times New Roman"/>
                <w:color w:val="auto"/>
                <w:kern w:val="0"/>
                <w:sz w:val="18"/>
                <w:szCs w:val="18"/>
              </w:rPr>
            </w:pPr>
          </w:p>
        </w:tc>
        <w:tc>
          <w:tcPr>
            <w:tcW w:w="2480" w:type="dxa"/>
            <w:tcBorders>
              <w:top w:val="single" w:color="auto" w:sz="4" w:space="0"/>
              <w:left w:val="nil"/>
              <w:bottom w:val="single" w:color="auto" w:sz="4" w:space="0"/>
              <w:right w:val="single" w:color="auto" w:sz="4" w:space="0"/>
            </w:tcBorders>
            <w:noWrap w:val="0"/>
            <w:vAlign w:val="center"/>
          </w:tcPr>
          <w:p w14:paraId="7DCD935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电机轴承和轴承架轴承</w:t>
            </w:r>
          </w:p>
        </w:tc>
        <w:tc>
          <w:tcPr>
            <w:tcW w:w="5056" w:type="dxa"/>
            <w:tcBorders>
              <w:top w:val="single" w:color="auto" w:sz="4" w:space="0"/>
              <w:left w:val="nil"/>
              <w:bottom w:val="single" w:color="auto" w:sz="4" w:space="0"/>
              <w:right w:val="single" w:color="auto" w:sz="4" w:space="0"/>
            </w:tcBorders>
            <w:noWrap w:val="0"/>
            <w:vAlign w:val="center"/>
          </w:tcPr>
          <w:p w14:paraId="6C26A44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检查轴承润滑状况，清理溢出的油污</w:t>
            </w:r>
          </w:p>
        </w:tc>
      </w:tr>
      <w:tr w14:paraId="55EB62F5">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FBAC87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25</w:t>
            </w:r>
          </w:p>
        </w:tc>
        <w:tc>
          <w:tcPr>
            <w:tcW w:w="1080" w:type="dxa"/>
            <w:vMerge w:val="continue"/>
            <w:tcBorders>
              <w:top w:val="nil"/>
              <w:left w:val="single" w:color="auto" w:sz="4" w:space="0"/>
              <w:bottom w:val="single" w:color="000000" w:sz="4" w:space="0"/>
              <w:right w:val="single" w:color="auto" w:sz="4" w:space="0"/>
            </w:tcBorders>
            <w:noWrap w:val="0"/>
            <w:vAlign w:val="center"/>
          </w:tcPr>
          <w:p w14:paraId="3E057898">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C3A1B9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电机轴承和轴承架轴承</w:t>
            </w:r>
          </w:p>
        </w:tc>
        <w:tc>
          <w:tcPr>
            <w:tcW w:w="5056" w:type="dxa"/>
            <w:tcBorders>
              <w:top w:val="nil"/>
              <w:left w:val="nil"/>
              <w:bottom w:val="single" w:color="auto" w:sz="4" w:space="0"/>
              <w:right w:val="single" w:color="auto" w:sz="4" w:space="0"/>
            </w:tcBorders>
            <w:noWrap w:val="0"/>
            <w:vAlign w:val="center"/>
          </w:tcPr>
          <w:p w14:paraId="214E3D4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添加或更换润滑油脂</w:t>
            </w:r>
          </w:p>
        </w:tc>
      </w:tr>
      <w:tr w14:paraId="57497C16">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99C0BF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26</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C5FCF9B">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884C9B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电动机、齿轮箱润滑检查</w:t>
            </w:r>
          </w:p>
        </w:tc>
        <w:tc>
          <w:tcPr>
            <w:tcW w:w="5056" w:type="dxa"/>
            <w:tcBorders>
              <w:top w:val="nil"/>
              <w:left w:val="nil"/>
              <w:bottom w:val="single" w:color="auto" w:sz="4" w:space="0"/>
              <w:right w:val="single" w:color="auto" w:sz="4" w:space="0"/>
            </w:tcBorders>
            <w:noWrap w:val="0"/>
            <w:vAlign w:val="center"/>
          </w:tcPr>
          <w:p w14:paraId="007A32C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检查油位和泄漏情况</w:t>
            </w:r>
          </w:p>
        </w:tc>
      </w:tr>
      <w:tr w14:paraId="73B31DC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2DB7C35">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27</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5ADE0BD">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6397B5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电动机、齿轮箱润滑油</w:t>
            </w:r>
          </w:p>
        </w:tc>
        <w:tc>
          <w:tcPr>
            <w:tcW w:w="5056" w:type="dxa"/>
            <w:tcBorders>
              <w:top w:val="nil"/>
              <w:left w:val="nil"/>
              <w:bottom w:val="single" w:color="auto" w:sz="4" w:space="0"/>
              <w:right w:val="single" w:color="auto" w:sz="4" w:space="0"/>
            </w:tcBorders>
            <w:noWrap w:val="0"/>
            <w:vAlign w:val="center"/>
          </w:tcPr>
          <w:p w14:paraId="7D10EBF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定期更换润滑油</w:t>
            </w:r>
          </w:p>
        </w:tc>
      </w:tr>
      <w:tr w14:paraId="707A65C8">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8E5F21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28</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BCDF9C3">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8F5F34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液压抱闸管路和渗漏检查</w:t>
            </w:r>
          </w:p>
        </w:tc>
        <w:tc>
          <w:tcPr>
            <w:tcW w:w="5056" w:type="dxa"/>
            <w:tcBorders>
              <w:top w:val="nil"/>
              <w:left w:val="nil"/>
              <w:bottom w:val="single" w:color="auto" w:sz="4" w:space="0"/>
              <w:right w:val="single" w:color="auto" w:sz="4" w:space="0"/>
            </w:tcBorders>
            <w:noWrap w:val="0"/>
            <w:vAlign w:val="center"/>
          </w:tcPr>
          <w:p w14:paraId="104F1F5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检查液压泵和管路的油位和泄漏情况</w:t>
            </w:r>
          </w:p>
        </w:tc>
      </w:tr>
      <w:tr w14:paraId="41C692A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E74924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29</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DD39395">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992C04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液压抱闸液压油更换</w:t>
            </w:r>
          </w:p>
        </w:tc>
        <w:tc>
          <w:tcPr>
            <w:tcW w:w="5056" w:type="dxa"/>
            <w:tcBorders>
              <w:top w:val="nil"/>
              <w:left w:val="nil"/>
              <w:bottom w:val="single" w:color="auto" w:sz="4" w:space="0"/>
              <w:right w:val="single" w:color="auto" w:sz="4" w:space="0"/>
            </w:tcBorders>
            <w:noWrap w:val="0"/>
            <w:vAlign w:val="center"/>
          </w:tcPr>
          <w:p w14:paraId="7086FC8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定期更换液压油</w:t>
            </w:r>
          </w:p>
        </w:tc>
      </w:tr>
      <w:tr w14:paraId="568F5451">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B9C025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30</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E3ECBA9">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724C7C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润滑抱闸枢轴</w:t>
            </w:r>
          </w:p>
        </w:tc>
        <w:tc>
          <w:tcPr>
            <w:tcW w:w="5056" w:type="dxa"/>
            <w:tcBorders>
              <w:top w:val="nil"/>
              <w:left w:val="nil"/>
              <w:bottom w:val="single" w:color="auto" w:sz="4" w:space="0"/>
              <w:right w:val="single" w:color="auto" w:sz="4" w:space="0"/>
            </w:tcBorders>
            <w:noWrap w:val="0"/>
            <w:vAlign w:val="center"/>
          </w:tcPr>
          <w:p w14:paraId="55A0BB9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清理油污，加油润滑</w:t>
            </w:r>
          </w:p>
        </w:tc>
      </w:tr>
      <w:tr w14:paraId="6126E076">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4AA05C4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31</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0D9C1EA">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016945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曳引轮、导向轮</w:t>
            </w:r>
          </w:p>
        </w:tc>
        <w:tc>
          <w:tcPr>
            <w:tcW w:w="5056" w:type="dxa"/>
            <w:tcBorders>
              <w:top w:val="nil"/>
              <w:left w:val="nil"/>
              <w:bottom w:val="single" w:color="auto" w:sz="4" w:space="0"/>
              <w:right w:val="single" w:color="auto" w:sz="4" w:space="0"/>
            </w:tcBorders>
            <w:noWrap w:val="0"/>
            <w:vAlign w:val="center"/>
          </w:tcPr>
          <w:p w14:paraId="5B638D1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检查轮槽磨损情况</w:t>
            </w:r>
          </w:p>
        </w:tc>
      </w:tr>
      <w:tr w14:paraId="5F68247B">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2D669055">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32</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C755F8F">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F699B5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机组接线</w:t>
            </w:r>
          </w:p>
        </w:tc>
        <w:tc>
          <w:tcPr>
            <w:tcW w:w="5056" w:type="dxa"/>
            <w:tcBorders>
              <w:top w:val="nil"/>
              <w:left w:val="nil"/>
              <w:bottom w:val="single" w:color="auto" w:sz="4" w:space="0"/>
              <w:right w:val="single" w:color="auto" w:sz="4" w:space="0"/>
            </w:tcBorders>
            <w:noWrap w:val="0"/>
            <w:vAlign w:val="center"/>
          </w:tcPr>
          <w:p w14:paraId="13670A0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检查和紧固接线端子</w:t>
            </w:r>
          </w:p>
        </w:tc>
      </w:tr>
      <w:tr w14:paraId="561F2475">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319C8EB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33</w:t>
            </w:r>
          </w:p>
        </w:tc>
        <w:tc>
          <w:tcPr>
            <w:tcW w:w="1080" w:type="dxa"/>
            <w:vMerge w:val="continue"/>
            <w:tcBorders>
              <w:top w:val="nil"/>
              <w:left w:val="single" w:color="auto" w:sz="4" w:space="0"/>
              <w:bottom w:val="single" w:color="000000" w:sz="4" w:space="0"/>
              <w:right w:val="single" w:color="auto" w:sz="4" w:space="0"/>
            </w:tcBorders>
            <w:noWrap w:val="0"/>
            <w:vAlign w:val="center"/>
          </w:tcPr>
          <w:p w14:paraId="3421DE7A">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AB8D56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松闸扳手和盘车装置</w:t>
            </w:r>
          </w:p>
        </w:tc>
        <w:tc>
          <w:tcPr>
            <w:tcW w:w="5056" w:type="dxa"/>
            <w:tcBorders>
              <w:top w:val="nil"/>
              <w:left w:val="nil"/>
              <w:bottom w:val="single" w:color="auto" w:sz="4" w:space="0"/>
              <w:right w:val="single" w:color="auto" w:sz="4" w:space="0"/>
            </w:tcBorders>
            <w:noWrap w:val="0"/>
            <w:vAlign w:val="center"/>
          </w:tcPr>
          <w:p w14:paraId="6BDCB8E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应放置在规定的位置</w:t>
            </w:r>
          </w:p>
        </w:tc>
      </w:tr>
      <w:tr w14:paraId="7BBA14C5">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1A79BB7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34</w:t>
            </w:r>
          </w:p>
        </w:tc>
        <w:tc>
          <w:tcPr>
            <w:tcW w:w="1080" w:type="dxa"/>
            <w:vMerge w:val="restart"/>
            <w:tcBorders>
              <w:top w:val="nil"/>
              <w:left w:val="single" w:color="auto" w:sz="4" w:space="0"/>
              <w:bottom w:val="single" w:color="000000" w:sz="4" w:space="0"/>
              <w:right w:val="single" w:color="auto" w:sz="4" w:space="0"/>
            </w:tcBorders>
            <w:noWrap w:val="0"/>
            <w:vAlign w:val="center"/>
          </w:tcPr>
          <w:p w14:paraId="340BDF4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w:t>
            </w:r>
          </w:p>
        </w:tc>
        <w:tc>
          <w:tcPr>
            <w:tcW w:w="2480" w:type="dxa"/>
            <w:tcBorders>
              <w:top w:val="nil"/>
              <w:left w:val="nil"/>
              <w:bottom w:val="single" w:color="auto" w:sz="4" w:space="0"/>
              <w:right w:val="single" w:color="auto" w:sz="4" w:space="0"/>
            </w:tcBorders>
            <w:noWrap w:val="0"/>
            <w:vAlign w:val="center"/>
          </w:tcPr>
          <w:p w14:paraId="431141A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w:t>
            </w:r>
          </w:p>
        </w:tc>
        <w:tc>
          <w:tcPr>
            <w:tcW w:w="5056" w:type="dxa"/>
            <w:tcBorders>
              <w:top w:val="nil"/>
              <w:left w:val="nil"/>
              <w:bottom w:val="single" w:color="auto" w:sz="4" w:space="0"/>
              <w:right w:val="single" w:color="auto" w:sz="4" w:space="0"/>
            </w:tcBorders>
            <w:noWrap w:val="0"/>
            <w:vAlign w:val="center"/>
          </w:tcPr>
          <w:p w14:paraId="682C6FC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检查钢丝绳锲入曳引轮槽的情况，观察地面铁屑，反馈异常情况</w:t>
            </w:r>
          </w:p>
        </w:tc>
      </w:tr>
      <w:tr w14:paraId="582E67D9">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23728CC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35</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90C35C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3E6476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曳引钢丝绳清洁</w:t>
            </w:r>
          </w:p>
        </w:tc>
        <w:tc>
          <w:tcPr>
            <w:tcW w:w="5056" w:type="dxa"/>
            <w:tcBorders>
              <w:top w:val="nil"/>
              <w:left w:val="nil"/>
              <w:bottom w:val="single" w:color="auto" w:sz="4" w:space="0"/>
              <w:right w:val="single" w:color="auto" w:sz="4" w:space="0"/>
            </w:tcBorders>
            <w:noWrap w:val="0"/>
            <w:vAlign w:val="center"/>
          </w:tcPr>
          <w:p w14:paraId="10CE6EC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清洁钢丝绳油污</w:t>
            </w:r>
          </w:p>
        </w:tc>
      </w:tr>
      <w:tr w14:paraId="091208B0">
        <w:tblPrEx>
          <w:tblCellMar>
            <w:top w:w="0" w:type="dxa"/>
            <w:left w:w="108" w:type="dxa"/>
            <w:bottom w:w="0" w:type="dxa"/>
            <w:right w:w="108" w:type="dxa"/>
          </w:tblCellMar>
        </w:tblPrEx>
        <w:trPr>
          <w:trHeight w:val="360" w:hRule="atLeast"/>
        </w:trPr>
        <w:tc>
          <w:tcPr>
            <w:tcW w:w="540" w:type="dxa"/>
            <w:tcBorders>
              <w:top w:val="nil"/>
              <w:left w:val="single" w:color="auto" w:sz="4" w:space="0"/>
              <w:bottom w:val="single" w:color="auto" w:sz="4" w:space="0"/>
              <w:right w:val="single" w:color="auto" w:sz="4" w:space="0"/>
            </w:tcBorders>
            <w:noWrap w:val="0"/>
            <w:vAlign w:val="top"/>
          </w:tcPr>
          <w:p w14:paraId="2E05B41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36</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9F59FBE">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150F71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曳引钢丝绳绳头</w:t>
            </w:r>
          </w:p>
        </w:tc>
        <w:tc>
          <w:tcPr>
            <w:tcW w:w="5056" w:type="dxa"/>
            <w:tcBorders>
              <w:top w:val="nil"/>
              <w:left w:val="nil"/>
              <w:bottom w:val="single" w:color="auto" w:sz="4" w:space="0"/>
              <w:right w:val="single" w:color="auto" w:sz="4" w:space="0"/>
            </w:tcBorders>
            <w:noWrap w:val="0"/>
            <w:vAlign w:val="center"/>
          </w:tcPr>
          <w:p w14:paraId="24252E1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无松股、断股，并帽牢固，有开口销及环型连接钢丝绳</w:t>
            </w:r>
          </w:p>
        </w:tc>
      </w:tr>
      <w:tr w14:paraId="25B0E1CC">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20B63591">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37</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4CBC29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5C9D41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曳引钢丝绳井道段</w:t>
            </w:r>
          </w:p>
        </w:tc>
        <w:tc>
          <w:tcPr>
            <w:tcW w:w="5056" w:type="dxa"/>
            <w:tcBorders>
              <w:top w:val="nil"/>
              <w:left w:val="nil"/>
              <w:bottom w:val="single" w:color="auto" w:sz="4" w:space="0"/>
              <w:right w:val="single" w:color="auto" w:sz="4" w:space="0"/>
            </w:tcBorders>
            <w:noWrap w:val="0"/>
            <w:vAlign w:val="center"/>
          </w:tcPr>
          <w:p w14:paraId="19C0DBD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检查井道段曳引钢丝绳的表面磨损、断股、锈蚀情况。必要时用专用润滑剂润滑</w:t>
            </w:r>
          </w:p>
        </w:tc>
      </w:tr>
      <w:tr w14:paraId="414D39D7">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2FDC351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38</w:t>
            </w:r>
          </w:p>
        </w:tc>
        <w:tc>
          <w:tcPr>
            <w:tcW w:w="1080" w:type="dxa"/>
            <w:vMerge w:val="restart"/>
            <w:tcBorders>
              <w:top w:val="nil"/>
              <w:left w:val="single" w:color="auto" w:sz="4" w:space="0"/>
              <w:bottom w:val="single" w:color="000000" w:sz="4" w:space="0"/>
              <w:right w:val="single" w:color="auto" w:sz="4" w:space="0"/>
            </w:tcBorders>
            <w:noWrap w:val="0"/>
            <w:vAlign w:val="center"/>
          </w:tcPr>
          <w:p w14:paraId="1877B2E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限速器</w:t>
            </w:r>
          </w:p>
        </w:tc>
        <w:tc>
          <w:tcPr>
            <w:tcW w:w="2480" w:type="dxa"/>
            <w:tcBorders>
              <w:top w:val="nil"/>
              <w:left w:val="nil"/>
              <w:bottom w:val="single" w:color="auto" w:sz="4" w:space="0"/>
              <w:right w:val="single" w:color="auto" w:sz="4" w:space="0"/>
            </w:tcBorders>
            <w:noWrap w:val="0"/>
            <w:vAlign w:val="center"/>
          </w:tcPr>
          <w:p w14:paraId="118247B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限速器</w:t>
            </w:r>
          </w:p>
        </w:tc>
        <w:tc>
          <w:tcPr>
            <w:tcW w:w="5056" w:type="dxa"/>
            <w:tcBorders>
              <w:top w:val="nil"/>
              <w:left w:val="nil"/>
              <w:bottom w:val="single" w:color="auto" w:sz="4" w:space="0"/>
              <w:right w:val="single" w:color="auto" w:sz="4" w:space="0"/>
            </w:tcBorders>
            <w:noWrap w:val="0"/>
            <w:vAlign w:val="center"/>
          </w:tcPr>
          <w:p w14:paraId="7F9DEAF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运转平稳，检查钢丝绳锲入限速器轮槽的情况，观察地面粉屑，反馈异常情况。开关动作可靠</w:t>
            </w:r>
          </w:p>
        </w:tc>
      </w:tr>
      <w:tr w14:paraId="642DE147">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9BC632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39</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E46A58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0714FA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限速器轮轴润滑</w:t>
            </w:r>
          </w:p>
        </w:tc>
        <w:tc>
          <w:tcPr>
            <w:tcW w:w="5056" w:type="dxa"/>
            <w:tcBorders>
              <w:top w:val="nil"/>
              <w:left w:val="nil"/>
              <w:bottom w:val="single" w:color="auto" w:sz="4" w:space="0"/>
              <w:right w:val="single" w:color="auto" w:sz="4" w:space="0"/>
            </w:tcBorders>
            <w:noWrap w:val="0"/>
            <w:vAlign w:val="center"/>
          </w:tcPr>
          <w:p w14:paraId="7A56DD7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润滑轮轴</w:t>
            </w:r>
          </w:p>
        </w:tc>
      </w:tr>
      <w:tr w14:paraId="1EA4D9CD">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2AA35F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40</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1838510">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B43425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限速器钢丝绳</w:t>
            </w:r>
          </w:p>
        </w:tc>
        <w:tc>
          <w:tcPr>
            <w:tcW w:w="5056" w:type="dxa"/>
            <w:tcBorders>
              <w:top w:val="nil"/>
              <w:left w:val="nil"/>
              <w:bottom w:val="single" w:color="auto" w:sz="4" w:space="0"/>
              <w:right w:val="single" w:color="auto" w:sz="4" w:space="0"/>
            </w:tcBorders>
            <w:noWrap w:val="0"/>
            <w:vAlign w:val="center"/>
          </w:tcPr>
          <w:p w14:paraId="3F530AC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检查限速器钢丝绳的表面磨损情况</w:t>
            </w:r>
          </w:p>
        </w:tc>
      </w:tr>
      <w:tr w14:paraId="069C823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E686A8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41</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81D73BF">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F84FDC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检查铅封</w:t>
            </w:r>
          </w:p>
        </w:tc>
        <w:tc>
          <w:tcPr>
            <w:tcW w:w="5056" w:type="dxa"/>
            <w:tcBorders>
              <w:top w:val="nil"/>
              <w:left w:val="nil"/>
              <w:bottom w:val="single" w:color="auto" w:sz="4" w:space="0"/>
              <w:right w:val="single" w:color="auto" w:sz="4" w:space="0"/>
            </w:tcBorders>
            <w:noWrap w:val="0"/>
            <w:vAlign w:val="center"/>
          </w:tcPr>
          <w:p w14:paraId="29468E6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完好</w:t>
            </w:r>
          </w:p>
        </w:tc>
      </w:tr>
      <w:tr w14:paraId="59B0886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FA8B36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42</w:t>
            </w:r>
          </w:p>
        </w:tc>
        <w:tc>
          <w:tcPr>
            <w:tcW w:w="1080" w:type="dxa"/>
            <w:vMerge w:val="restart"/>
            <w:tcBorders>
              <w:top w:val="nil"/>
              <w:left w:val="single" w:color="auto" w:sz="4" w:space="0"/>
              <w:bottom w:val="single" w:color="000000" w:sz="4" w:space="0"/>
              <w:right w:val="single" w:color="auto" w:sz="4" w:space="0"/>
            </w:tcBorders>
            <w:noWrap w:val="0"/>
            <w:vAlign w:val="center"/>
          </w:tcPr>
          <w:p w14:paraId="40718C1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控制柜</w:t>
            </w:r>
          </w:p>
        </w:tc>
        <w:tc>
          <w:tcPr>
            <w:tcW w:w="2480" w:type="dxa"/>
            <w:tcBorders>
              <w:top w:val="nil"/>
              <w:left w:val="nil"/>
              <w:bottom w:val="single" w:color="auto" w:sz="4" w:space="0"/>
              <w:right w:val="single" w:color="auto" w:sz="4" w:space="0"/>
            </w:tcBorders>
            <w:noWrap w:val="0"/>
            <w:vAlign w:val="center"/>
          </w:tcPr>
          <w:p w14:paraId="6E8B31A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相序继电器</w:t>
            </w:r>
          </w:p>
        </w:tc>
        <w:tc>
          <w:tcPr>
            <w:tcW w:w="5056" w:type="dxa"/>
            <w:tcBorders>
              <w:top w:val="nil"/>
              <w:left w:val="nil"/>
              <w:bottom w:val="single" w:color="auto" w:sz="4" w:space="0"/>
              <w:right w:val="single" w:color="auto" w:sz="4" w:space="0"/>
            </w:tcBorders>
            <w:noWrap w:val="0"/>
            <w:vAlign w:val="center"/>
          </w:tcPr>
          <w:p w14:paraId="52160AC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检查错相、断相</w:t>
            </w:r>
          </w:p>
        </w:tc>
      </w:tr>
      <w:tr w14:paraId="2CB5996B">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D0AABA1">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43</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4A22D2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F61BE8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机房检修盒</w:t>
            </w:r>
          </w:p>
        </w:tc>
        <w:tc>
          <w:tcPr>
            <w:tcW w:w="5056" w:type="dxa"/>
            <w:tcBorders>
              <w:top w:val="nil"/>
              <w:left w:val="nil"/>
              <w:bottom w:val="single" w:color="auto" w:sz="4" w:space="0"/>
              <w:right w:val="single" w:color="auto" w:sz="4" w:space="0"/>
            </w:tcBorders>
            <w:noWrap w:val="0"/>
            <w:vAlign w:val="center"/>
          </w:tcPr>
          <w:p w14:paraId="0561F24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动作正常</w:t>
            </w:r>
          </w:p>
        </w:tc>
      </w:tr>
      <w:tr w14:paraId="602EE2C6">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04C162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44</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A57EB9B">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5531F6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保险丝</w:t>
            </w:r>
          </w:p>
        </w:tc>
        <w:tc>
          <w:tcPr>
            <w:tcW w:w="5056" w:type="dxa"/>
            <w:tcBorders>
              <w:top w:val="nil"/>
              <w:left w:val="nil"/>
              <w:bottom w:val="single" w:color="auto" w:sz="4" w:space="0"/>
              <w:right w:val="single" w:color="auto" w:sz="4" w:space="0"/>
            </w:tcBorders>
            <w:noWrap w:val="0"/>
            <w:vAlign w:val="center"/>
          </w:tcPr>
          <w:p w14:paraId="0E17373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保险丝容量符合技术要求，连接无松动</w:t>
            </w:r>
          </w:p>
        </w:tc>
      </w:tr>
      <w:tr w14:paraId="0030E43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0A58331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45</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3F4614C">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EDE07C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三角形/星形连接端子</w:t>
            </w:r>
          </w:p>
        </w:tc>
        <w:tc>
          <w:tcPr>
            <w:tcW w:w="5056" w:type="dxa"/>
            <w:tcBorders>
              <w:top w:val="nil"/>
              <w:left w:val="nil"/>
              <w:bottom w:val="single" w:color="auto" w:sz="4" w:space="0"/>
              <w:right w:val="single" w:color="auto" w:sz="4" w:space="0"/>
            </w:tcBorders>
            <w:noWrap w:val="0"/>
            <w:vAlign w:val="center"/>
          </w:tcPr>
          <w:p w14:paraId="132B236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随机检查3-5个螺丝的紧固，如有松动全部紧固一遍</w:t>
            </w:r>
          </w:p>
        </w:tc>
      </w:tr>
      <w:tr w14:paraId="6A425D42">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A7CCD9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46</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D3F283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4CA2B5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电梯运行次数</w:t>
            </w:r>
          </w:p>
        </w:tc>
        <w:tc>
          <w:tcPr>
            <w:tcW w:w="5056" w:type="dxa"/>
            <w:tcBorders>
              <w:top w:val="nil"/>
              <w:left w:val="nil"/>
              <w:bottom w:val="single" w:color="auto" w:sz="4" w:space="0"/>
              <w:right w:val="single" w:color="auto" w:sz="4" w:space="0"/>
            </w:tcBorders>
            <w:noWrap w:val="0"/>
            <w:vAlign w:val="center"/>
          </w:tcPr>
          <w:p w14:paraId="381A928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读取运行次数计数器并记录电梯运行次数</w:t>
            </w:r>
          </w:p>
        </w:tc>
      </w:tr>
      <w:tr w14:paraId="4455400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3545CA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47</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5FE9C0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471BB1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接触器、继电器</w:t>
            </w:r>
          </w:p>
        </w:tc>
        <w:tc>
          <w:tcPr>
            <w:tcW w:w="5056" w:type="dxa"/>
            <w:tcBorders>
              <w:top w:val="nil"/>
              <w:left w:val="nil"/>
              <w:bottom w:val="single" w:color="auto" w:sz="4" w:space="0"/>
              <w:right w:val="single" w:color="auto" w:sz="4" w:space="0"/>
            </w:tcBorders>
            <w:noWrap w:val="0"/>
            <w:vAlign w:val="center"/>
          </w:tcPr>
          <w:p w14:paraId="173DCFA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随机检查5-10个螺丝的紧固，如有松动全部紧固一遍</w:t>
            </w:r>
          </w:p>
        </w:tc>
      </w:tr>
      <w:tr w14:paraId="49068F08">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E75676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48</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0C4769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C46E89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印板清洁</w:t>
            </w:r>
          </w:p>
        </w:tc>
        <w:tc>
          <w:tcPr>
            <w:tcW w:w="5056" w:type="dxa"/>
            <w:tcBorders>
              <w:top w:val="nil"/>
              <w:left w:val="nil"/>
              <w:bottom w:val="single" w:color="auto" w:sz="4" w:space="0"/>
              <w:right w:val="single" w:color="auto" w:sz="4" w:space="0"/>
            </w:tcBorders>
            <w:noWrap w:val="0"/>
            <w:vAlign w:val="center"/>
          </w:tcPr>
          <w:p w14:paraId="5CEE803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拆卸印板并清洁，注意人体不要接触金属</w:t>
            </w:r>
          </w:p>
        </w:tc>
      </w:tr>
      <w:tr w14:paraId="46208ED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02611F0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49</w:t>
            </w:r>
          </w:p>
        </w:tc>
        <w:tc>
          <w:tcPr>
            <w:tcW w:w="1080" w:type="dxa"/>
            <w:vMerge w:val="restart"/>
            <w:tcBorders>
              <w:top w:val="nil"/>
              <w:left w:val="single" w:color="auto" w:sz="4" w:space="0"/>
              <w:bottom w:val="single" w:color="000000" w:sz="4" w:space="0"/>
              <w:right w:val="single" w:color="auto" w:sz="4" w:space="0"/>
            </w:tcBorders>
            <w:noWrap w:val="0"/>
            <w:vAlign w:val="center"/>
          </w:tcPr>
          <w:p w14:paraId="1524989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w:t>
            </w:r>
          </w:p>
        </w:tc>
        <w:tc>
          <w:tcPr>
            <w:tcW w:w="2480" w:type="dxa"/>
            <w:tcBorders>
              <w:top w:val="nil"/>
              <w:left w:val="nil"/>
              <w:bottom w:val="single" w:color="auto" w:sz="4" w:space="0"/>
              <w:right w:val="single" w:color="auto" w:sz="4" w:space="0"/>
            </w:tcBorders>
            <w:noWrap w:val="0"/>
            <w:vAlign w:val="center"/>
          </w:tcPr>
          <w:p w14:paraId="2B06423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清洁机组</w:t>
            </w:r>
          </w:p>
        </w:tc>
        <w:tc>
          <w:tcPr>
            <w:tcW w:w="5056" w:type="dxa"/>
            <w:tcBorders>
              <w:top w:val="nil"/>
              <w:left w:val="nil"/>
              <w:bottom w:val="single" w:color="auto" w:sz="4" w:space="0"/>
              <w:right w:val="single" w:color="auto" w:sz="4" w:space="0"/>
            </w:tcBorders>
            <w:noWrap w:val="0"/>
            <w:vAlign w:val="center"/>
          </w:tcPr>
          <w:p w14:paraId="3C84FD1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清洁机组</w:t>
            </w:r>
          </w:p>
        </w:tc>
      </w:tr>
      <w:tr w14:paraId="59644D09">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84E941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50</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C57FA0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568939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清洁控制柜</w:t>
            </w:r>
          </w:p>
        </w:tc>
        <w:tc>
          <w:tcPr>
            <w:tcW w:w="5056" w:type="dxa"/>
            <w:tcBorders>
              <w:top w:val="nil"/>
              <w:left w:val="nil"/>
              <w:bottom w:val="single" w:color="auto" w:sz="4" w:space="0"/>
              <w:right w:val="single" w:color="auto" w:sz="4" w:space="0"/>
            </w:tcBorders>
            <w:noWrap w:val="0"/>
            <w:vAlign w:val="center"/>
          </w:tcPr>
          <w:p w14:paraId="50BF478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控制柜、电阻器等表面清洁</w:t>
            </w:r>
          </w:p>
        </w:tc>
      </w:tr>
      <w:tr w14:paraId="2BE3CB5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E6DF27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51</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7E8A7BD">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E7DA19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清洁限速器</w:t>
            </w:r>
          </w:p>
        </w:tc>
        <w:tc>
          <w:tcPr>
            <w:tcW w:w="5056" w:type="dxa"/>
            <w:tcBorders>
              <w:top w:val="nil"/>
              <w:left w:val="nil"/>
              <w:bottom w:val="single" w:color="auto" w:sz="4" w:space="0"/>
              <w:right w:val="single" w:color="auto" w:sz="4" w:space="0"/>
            </w:tcBorders>
            <w:noWrap w:val="0"/>
            <w:vAlign w:val="center"/>
          </w:tcPr>
          <w:p w14:paraId="7439D6C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清洁限速器</w:t>
            </w:r>
          </w:p>
        </w:tc>
      </w:tr>
      <w:tr w14:paraId="7A400AE7">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CC5301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52</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154053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52FAF0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清洁所有风扇</w:t>
            </w:r>
          </w:p>
        </w:tc>
        <w:tc>
          <w:tcPr>
            <w:tcW w:w="5056" w:type="dxa"/>
            <w:tcBorders>
              <w:top w:val="nil"/>
              <w:left w:val="nil"/>
              <w:bottom w:val="single" w:color="auto" w:sz="4" w:space="0"/>
              <w:right w:val="single" w:color="auto" w:sz="4" w:space="0"/>
            </w:tcBorders>
            <w:noWrap w:val="0"/>
            <w:vAlign w:val="center"/>
          </w:tcPr>
          <w:p w14:paraId="354C133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清洁所有机组、控制柜风扇</w:t>
            </w:r>
          </w:p>
        </w:tc>
      </w:tr>
      <w:tr w14:paraId="00F043E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254A07E">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53</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B0F043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D83FAC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机房清洁</w:t>
            </w:r>
          </w:p>
        </w:tc>
        <w:tc>
          <w:tcPr>
            <w:tcW w:w="5056" w:type="dxa"/>
            <w:tcBorders>
              <w:top w:val="nil"/>
              <w:left w:val="nil"/>
              <w:bottom w:val="single" w:color="auto" w:sz="4" w:space="0"/>
              <w:right w:val="single" w:color="auto" w:sz="4" w:space="0"/>
            </w:tcBorders>
            <w:noWrap w:val="0"/>
            <w:vAlign w:val="center"/>
          </w:tcPr>
          <w:p w14:paraId="66CA1C0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机房环境清洁</w:t>
            </w:r>
          </w:p>
        </w:tc>
      </w:tr>
      <w:tr w14:paraId="309CC9B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5964EC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54 </w:t>
            </w:r>
          </w:p>
        </w:tc>
        <w:tc>
          <w:tcPr>
            <w:tcW w:w="1080" w:type="dxa"/>
            <w:tcBorders>
              <w:top w:val="nil"/>
              <w:left w:val="nil"/>
              <w:bottom w:val="single" w:color="auto" w:sz="4" w:space="0"/>
              <w:right w:val="single" w:color="auto" w:sz="4" w:space="0"/>
            </w:tcBorders>
            <w:noWrap w:val="0"/>
            <w:vAlign w:val="center"/>
          </w:tcPr>
          <w:p w14:paraId="7CEBDD4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其它</w:t>
            </w:r>
          </w:p>
        </w:tc>
        <w:tc>
          <w:tcPr>
            <w:tcW w:w="2480" w:type="dxa"/>
            <w:tcBorders>
              <w:top w:val="nil"/>
              <w:left w:val="nil"/>
              <w:bottom w:val="single" w:color="auto" w:sz="4" w:space="0"/>
              <w:right w:val="single" w:color="auto" w:sz="4" w:space="0"/>
            </w:tcBorders>
            <w:noWrap w:val="0"/>
            <w:vAlign w:val="center"/>
          </w:tcPr>
          <w:p w14:paraId="12818C5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机房温度</w:t>
            </w:r>
          </w:p>
        </w:tc>
        <w:tc>
          <w:tcPr>
            <w:tcW w:w="5056" w:type="dxa"/>
            <w:tcBorders>
              <w:top w:val="nil"/>
              <w:left w:val="nil"/>
              <w:bottom w:val="single" w:color="auto" w:sz="4" w:space="0"/>
              <w:right w:val="single" w:color="auto" w:sz="4" w:space="0"/>
            </w:tcBorders>
            <w:noWrap w:val="0"/>
            <w:vAlign w:val="center"/>
          </w:tcPr>
          <w:p w14:paraId="5A7D5D59">
            <w:pPr>
              <w:widowControl/>
              <w:jc w:val="both"/>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除尘通风，保持适宜温度</w:t>
            </w:r>
          </w:p>
        </w:tc>
      </w:tr>
      <w:tr w14:paraId="3DB45458">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B90200E">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80" w:type="dxa"/>
            <w:tcBorders>
              <w:top w:val="nil"/>
              <w:left w:val="nil"/>
              <w:bottom w:val="single" w:color="auto" w:sz="4" w:space="0"/>
              <w:right w:val="single" w:color="auto" w:sz="4" w:space="0"/>
            </w:tcBorders>
            <w:noWrap w:val="0"/>
            <w:vAlign w:val="center"/>
          </w:tcPr>
          <w:p w14:paraId="6F34A94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top"/>
          </w:tcPr>
          <w:p w14:paraId="6BC48E87">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四、</w:t>
            </w:r>
            <w:r>
              <w:rPr>
                <w:rFonts w:hint="default" w:ascii="Times New Roman" w:hAnsi="Times New Roman" w:eastAsia="方正仿宋_GBK" w:cs="Times New Roman"/>
                <w:b/>
                <w:bCs/>
                <w:color w:val="auto"/>
                <w:kern w:val="0"/>
                <w:sz w:val="18"/>
                <w:szCs w:val="18"/>
              </w:rPr>
              <w:t>井道</w:t>
            </w:r>
          </w:p>
        </w:tc>
        <w:tc>
          <w:tcPr>
            <w:tcW w:w="5056" w:type="dxa"/>
            <w:tcBorders>
              <w:top w:val="nil"/>
              <w:left w:val="nil"/>
              <w:bottom w:val="single" w:color="auto" w:sz="4" w:space="0"/>
              <w:right w:val="single" w:color="auto" w:sz="4" w:space="0"/>
            </w:tcBorders>
            <w:noWrap w:val="0"/>
            <w:vAlign w:val="top"/>
          </w:tcPr>
          <w:p w14:paraId="643D78D4">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14:paraId="0B317F8C">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5021195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55 </w:t>
            </w:r>
          </w:p>
        </w:tc>
        <w:tc>
          <w:tcPr>
            <w:tcW w:w="1080" w:type="dxa"/>
            <w:vMerge w:val="restart"/>
            <w:tcBorders>
              <w:top w:val="nil"/>
              <w:left w:val="single" w:color="auto" w:sz="4" w:space="0"/>
              <w:bottom w:val="single" w:color="000000" w:sz="4" w:space="0"/>
              <w:right w:val="single" w:color="auto" w:sz="4" w:space="0"/>
            </w:tcBorders>
            <w:noWrap w:val="0"/>
            <w:vAlign w:val="center"/>
          </w:tcPr>
          <w:p w14:paraId="69F66E6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井道顶部</w:t>
            </w:r>
          </w:p>
        </w:tc>
        <w:tc>
          <w:tcPr>
            <w:tcW w:w="2480" w:type="dxa"/>
            <w:tcBorders>
              <w:top w:val="nil"/>
              <w:left w:val="nil"/>
              <w:bottom w:val="single" w:color="auto" w:sz="4" w:space="0"/>
              <w:right w:val="single" w:color="auto" w:sz="4" w:space="0"/>
            </w:tcBorders>
            <w:noWrap w:val="0"/>
            <w:vAlign w:val="center"/>
          </w:tcPr>
          <w:p w14:paraId="45723A2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井道上限位和上极限</w:t>
            </w:r>
          </w:p>
        </w:tc>
        <w:tc>
          <w:tcPr>
            <w:tcW w:w="5056" w:type="dxa"/>
            <w:tcBorders>
              <w:top w:val="nil"/>
              <w:left w:val="nil"/>
              <w:bottom w:val="single" w:color="auto" w:sz="4" w:space="0"/>
              <w:right w:val="single" w:color="auto" w:sz="4" w:space="0"/>
            </w:tcBorders>
            <w:noWrap w:val="0"/>
            <w:vAlign w:val="center"/>
          </w:tcPr>
          <w:p w14:paraId="68A9E37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检查井道限位开关和极限开关的位置。测试开关的动作和功能</w:t>
            </w:r>
          </w:p>
        </w:tc>
      </w:tr>
      <w:tr w14:paraId="14032D22">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noWrap w:val="0"/>
            <w:vAlign w:val="top"/>
          </w:tcPr>
          <w:p w14:paraId="0817255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311C12A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96B8CE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轿顶安全开关</w:t>
            </w:r>
          </w:p>
        </w:tc>
        <w:tc>
          <w:tcPr>
            <w:tcW w:w="5056" w:type="dxa"/>
            <w:tcBorders>
              <w:top w:val="nil"/>
              <w:left w:val="nil"/>
              <w:bottom w:val="single" w:color="auto" w:sz="4" w:space="0"/>
              <w:right w:val="single" w:color="auto" w:sz="4" w:space="0"/>
            </w:tcBorders>
            <w:noWrap w:val="0"/>
            <w:vAlign w:val="center"/>
          </w:tcPr>
          <w:p w14:paraId="7C36E4F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测试所有轿顶安全开关的动作和功能，包括：检修盒急停开关、安全窗开关、门机急停开关、逃生门开关等等</w:t>
            </w:r>
          </w:p>
        </w:tc>
      </w:tr>
      <w:tr w14:paraId="0C1B354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799760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57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E51216A">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1CF4A4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安全钳开关</w:t>
            </w:r>
          </w:p>
        </w:tc>
        <w:tc>
          <w:tcPr>
            <w:tcW w:w="5056" w:type="dxa"/>
            <w:tcBorders>
              <w:top w:val="nil"/>
              <w:left w:val="nil"/>
              <w:bottom w:val="single" w:color="auto" w:sz="4" w:space="0"/>
              <w:right w:val="single" w:color="auto" w:sz="4" w:space="0"/>
            </w:tcBorders>
            <w:noWrap w:val="0"/>
            <w:vAlign w:val="center"/>
          </w:tcPr>
          <w:p w14:paraId="6A5850A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开关动作可靠</w:t>
            </w:r>
          </w:p>
        </w:tc>
      </w:tr>
      <w:tr w14:paraId="4BFFE0D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A40C72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58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6138B3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48DBF3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轿顶护栏</w:t>
            </w:r>
          </w:p>
        </w:tc>
        <w:tc>
          <w:tcPr>
            <w:tcW w:w="5056" w:type="dxa"/>
            <w:tcBorders>
              <w:top w:val="nil"/>
              <w:left w:val="nil"/>
              <w:bottom w:val="single" w:color="auto" w:sz="4" w:space="0"/>
              <w:right w:val="single" w:color="auto" w:sz="4" w:space="0"/>
            </w:tcBorders>
            <w:noWrap w:val="0"/>
            <w:vAlign w:val="center"/>
          </w:tcPr>
          <w:p w14:paraId="2AB2B8E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轿顶护栏稳固，无螺栓松动，无焊缝松脱</w:t>
            </w:r>
          </w:p>
        </w:tc>
      </w:tr>
      <w:tr w14:paraId="64930101">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6C58165">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71DDD4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92F082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轿顶检修照明</w:t>
            </w:r>
          </w:p>
        </w:tc>
        <w:tc>
          <w:tcPr>
            <w:tcW w:w="5056" w:type="dxa"/>
            <w:tcBorders>
              <w:top w:val="nil"/>
              <w:left w:val="nil"/>
              <w:bottom w:val="single" w:color="auto" w:sz="4" w:space="0"/>
              <w:right w:val="single" w:color="auto" w:sz="4" w:space="0"/>
            </w:tcBorders>
            <w:noWrap w:val="0"/>
            <w:vAlign w:val="center"/>
          </w:tcPr>
          <w:p w14:paraId="46EACC5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有照明，照明插头、插座完好</w:t>
            </w:r>
          </w:p>
        </w:tc>
      </w:tr>
      <w:tr w14:paraId="2E65B526">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3A11F50E">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60 </w:t>
            </w:r>
          </w:p>
        </w:tc>
        <w:tc>
          <w:tcPr>
            <w:tcW w:w="1080" w:type="dxa"/>
            <w:vMerge w:val="restart"/>
            <w:tcBorders>
              <w:top w:val="nil"/>
              <w:left w:val="single" w:color="auto" w:sz="4" w:space="0"/>
              <w:bottom w:val="single" w:color="000000" w:sz="4" w:space="0"/>
              <w:right w:val="single" w:color="auto" w:sz="4" w:space="0"/>
            </w:tcBorders>
            <w:noWrap w:val="0"/>
            <w:vAlign w:val="center"/>
          </w:tcPr>
          <w:p w14:paraId="7C22DFC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井道中部</w:t>
            </w:r>
          </w:p>
        </w:tc>
        <w:tc>
          <w:tcPr>
            <w:tcW w:w="2480" w:type="dxa"/>
            <w:tcBorders>
              <w:top w:val="nil"/>
              <w:left w:val="nil"/>
              <w:bottom w:val="single" w:color="auto" w:sz="4" w:space="0"/>
              <w:right w:val="single" w:color="auto" w:sz="4" w:space="0"/>
            </w:tcBorders>
            <w:noWrap w:val="0"/>
            <w:vAlign w:val="center"/>
          </w:tcPr>
          <w:p w14:paraId="70E2D4E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轿顶、对重曳引钢丝绳绳头</w:t>
            </w:r>
          </w:p>
        </w:tc>
        <w:tc>
          <w:tcPr>
            <w:tcW w:w="5056" w:type="dxa"/>
            <w:tcBorders>
              <w:top w:val="nil"/>
              <w:left w:val="nil"/>
              <w:bottom w:val="single" w:color="auto" w:sz="4" w:space="0"/>
              <w:right w:val="single" w:color="auto" w:sz="4" w:space="0"/>
            </w:tcBorders>
            <w:noWrap w:val="0"/>
            <w:vAlign w:val="center"/>
          </w:tcPr>
          <w:p w14:paraId="247F3C0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无松股、断股，并帽牢固，有开口销及环型连接钢丝绳</w:t>
            </w:r>
          </w:p>
        </w:tc>
      </w:tr>
      <w:tr w14:paraId="61DC32DE">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F23710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61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B7AE5CA">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836C33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轿厢、对重绳头弹簧</w:t>
            </w:r>
          </w:p>
        </w:tc>
        <w:tc>
          <w:tcPr>
            <w:tcW w:w="5056" w:type="dxa"/>
            <w:tcBorders>
              <w:top w:val="nil"/>
              <w:left w:val="nil"/>
              <w:bottom w:val="single" w:color="auto" w:sz="4" w:space="0"/>
              <w:right w:val="single" w:color="auto" w:sz="4" w:space="0"/>
            </w:tcBorders>
            <w:noWrap w:val="0"/>
            <w:vAlign w:val="center"/>
          </w:tcPr>
          <w:p w14:paraId="05E11A4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检查轿顶曳引绳绳头弹簧是否压死</w:t>
            </w:r>
          </w:p>
        </w:tc>
      </w:tr>
      <w:tr w14:paraId="01E67658">
        <w:tblPrEx>
          <w:tblCellMar>
            <w:top w:w="0" w:type="dxa"/>
            <w:left w:w="108" w:type="dxa"/>
            <w:bottom w:w="0" w:type="dxa"/>
            <w:right w:w="108" w:type="dxa"/>
          </w:tblCellMar>
        </w:tblPrEx>
        <w:trPr>
          <w:trHeight w:val="495" w:hRule="atLeast"/>
        </w:trPr>
        <w:tc>
          <w:tcPr>
            <w:tcW w:w="540" w:type="dxa"/>
            <w:tcBorders>
              <w:top w:val="nil"/>
              <w:left w:val="single" w:color="auto" w:sz="4" w:space="0"/>
              <w:bottom w:val="single" w:color="auto" w:sz="4" w:space="0"/>
              <w:right w:val="single" w:color="auto" w:sz="4" w:space="0"/>
            </w:tcBorders>
            <w:noWrap w:val="0"/>
            <w:vAlign w:val="top"/>
          </w:tcPr>
          <w:p w14:paraId="010968B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62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DE6694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B5EE1B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轿厢、对重的滑动/滚轮导靴</w:t>
            </w:r>
          </w:p>
        </w:tc>
        <w:tc>
          <w:tcPr>
            <w:tcW w:w="5056" w:type="dxa"/>
            <w:tcBorders>
              <w:top w:val="nil"/>
              <w:left w:val="nil"/>
              <w:bottom w:val="single" w:color="auto" w:sz="4" w:space="0"/>
              <w:right w:val="single" w:color="auto" w:sz="4" w:space="0"/>
            </w:tcBorders>
            <w:noWrap w:val="0"/>
            <w:vAlign w:val="center"/>
          </w:tcPr>
          <w:p w14:paraId="770C3D3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检查滑动导靴/滚轮导靴的磨损。检查滚轮导靴轴承噪音。必要时更换导靴的靴衬、轴承或滚轮</w:t>
            </w:r>
          </w:p>
        </w:tc>
      </w:tr>
      <w:tr w14:paraId="37C31EF2">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770588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63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B614CF5">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BEC707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轿顶、对重反绳轮</w:t>
            </w:r>
          </w:p>
        </w:tc>
        <w:tc>
          <w:tcPr>
            <w:tcW w:w="5056" w:type="dxa"/>
            <w:tcBorders>
              <w:top w:val="nil"/>
              <w:left w:val="nil"/>
              <w:bottom w:val="single" w:color="auto" w:sz="4" w:space="0"/>
              <w:right w:val="single" w:color="auto" w:sz="4" w:space="0"/>
            </w:tcBorders>
            <w:noWrap w:val="0"/>
            <w:vAlign w:val="center"/>
          </w:tcPr>
          <w:p w14:paraId="363CF9A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检查轮槽磨损情况，检查挡绳装置</w:t>
            </w:r>
          </w:p>
        </w:tc>
      </w:tr>
      <w:tr w14:paraId="0315042D">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EB848F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64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C88F70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E00010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轿顶、对重反绳轮润滑</w:t>
            </w:r>
          </w:p>
        </w:tc>
        <w:tc>
          <w:tcPr>
            <w:tcW w:w="5056" w:type="dxa"/>
            <w:tcBorders>
              <w:top w:val="nil"/>
              <w:left w:val="nil"/>
              <w:bottom w:val="single" w:color="auto" w:sz="4" w:space="0"/>
              <w:right w:val="single" w:color="auto" w:sz="4" w:space="0"/>
            </w:tcBorders>
            <w:noWrap w:val="0"/>
            <w:vAlign w:val="center"/>
          </w:tcPr>
          <w:p w14:paraId="08E9EED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清理油污，添加润滑油脂</w:t>
            </w:r>
          </w:p>
        </w:tc>
      </w:tr>
      <w:tr w14:paraId="131EE344">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5162A3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65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293CA1A">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4E9C8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油杯</w:t>
            </w:r>
          </w:p>
        </w:tc>
        <w:tc>
          <w:tcPr>
            <w:tcW w:w="5056" w:type="dxa"/>
            <w:tcBorders>
              <w:top w:val="nil"/>
              <w:left w:val="nil"/>
              <w:bottom w:val="single" w:color="auto" w:sz="4" w:space="0"/>
              <w:right w:val="single" w:color="auto" w:sz="4" w:space="0"/>
            </w:tcBorders>
            <w:noWrap w:val="0"/>
            <w:vAlign w:val="center"/>
          </w:tcPr>
          <w:p w14:paraId="5032824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检查油杯内的油量，加油或换油</w:t>
            </w:r>
          </w:p>
        </w:tc>
      </w:tr>
      <w:tr w14:paraId="2EF76D1B">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3F4B975">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D3AE17D">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2CE963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钢丝绳松紧度检查</w:t>
            </w:r>
          </w:p>
        </w:tc>
        <w:tc>
          <w:tcPr>
            <w:tcW w:w="5056" w:type="dxa"/>
            <w:tcBorders>
              <w:top w:val="nil"/>
              <w:left w:val="nil"/>
              <w:bottom w:val="single" w:color="auto" w:sz="4" w:space="0"/>
              <w:right w:val="single" w:color="auto" w:sz="4" w:space="0"/>
            </w:tcBorders>
            <w:noWrap w:val="0"/>
            <w:vAlign w:val="center"/>
          </w:tcPr>
          <w:p w14:paraId="10A4A3A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钢丝绳松紧一致</w:t>
            </w:r>
          </w:p>
        </w:tc>
      </w:tr>
      <w:tr w14:paraId="14670E95">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B60DF9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67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A21FCCF">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C9BA4F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直梁夹板</w:t>
            </w:r>
          </w:p>
        </w:tc>
        <w:tc>
          <w:tcPr>
            <w:tcW w:w="5056" w:type="dxa"/>
            <w:tcBorders>
              <w:top w:val="nil"/>
              <w:left w:val="nil"/>
              <w:bottom w:val="single" w:color="auto" w:sz="4" w:space="0"/>
              <w:right w:val="single" w:color="auto" w:sz="4" w:space="0"/>
            </w:tcBorders>
            <w:noWrap w:val="0"/>
            <w:vAlign w:val="center"/>
          </w:tcPr>
          <w:p w14:paraId="6CAC7A4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螺丝无松动</w:t>
            </w:r>
          </w:p>
        </w:tc>
      </w:tr>
      <w:tr w14:paraId="4E27362E">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7930EBD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68 </w:t>
            </w:r>
          </w:p>
        </w:tc>
        <w:tc>
          <w:tcPr>
            <w:tcW w:w="1080" w:type="dxa"/>
            <w:vMerge w:val="restart"/>
            <w:tcBorders>
              <w:top w:val="nil"/>
              <w:left w:val="single" w:color="auto" w:sz="4" w:space="0"/>
              <w:bottom w:val="single" w:color="000000" w:sz="4" w:space="0"/>
              <w:right w:val="single" w:color="auto" w:sz="4" w:space="0"/>
            </w:tcBorders>
            <w:noWrap w:val="0"/>
            <w:vAlign w:val="center"/>
          </w:tcPr>
          <w:p w14:paraId="76AFCFE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井道底部</w:t>
            </w:r>
          </w:p>
        </w:tc>
        <w:tc>
          <w:tcPr>
            <w:tcW w:w="2480" w:type="dxa"/>
            <w:tcBorders>
              <w:top w:val="nil"/>
              <w:left w:val="nil"/>
              <w:bottom w:val="single" w:color="auto" w:sz="4" w:space="0"/>
              <w:right w:val="single" w:color="auto" w:sz="4" w:space="0"/>
            </w:tcBorders>
            <w:noWrap w:val="0"/>
            <w:vAlign w:val="center"/>
          </w:tcPr>
          <w:p w14:paraId="59EF3CF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井道下限位和下极限</w:t>
            </w:r>
          </w:p>
        </w:tc>
        <w:tc>
          <w:tcPr>
            <w:tcW w:w="5056" w:type="dxa"/>
            <w:tcBorders>
              <w:top w:val="nil"/>
              <w:left w:val="nil"/>
              <w:bottom w:val="single" w:color="auto" w:sz="4" w:space="0"/>
              <w:right w:val="single" w:color="auto" w:sz="4" w:space="0"/>
            </w:tcBorders>
            <w:noWrap w:val="0"/>
            <w:vAlign w:val="center"/>
          </w:tcPr>
          <w:p w14:paraId="006F309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检查井道限位开关和极限开关的位置。测试开关的动作和功能</w:t>
            </w:r>
          </w:p>
        </w:tc>
      </w:tr>
      <w:tr w14:paraId="136DDE6E">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31B6E5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70F0E03">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FEB709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轿顶、轿顶接线盒、风机</w:t>
            </w:r>
          </w:p>
        </w:tc>
        <w:tc>
          <w:tcPr>
            <w:tcW w:w="5056" w:type="dxa"/>
            <w:tcBorders>
              <w:top w:val="nil"/>
              <w:left w:val="nil"/>
              <w:bottom w:val="single" w:color="auto" w:sz="4" w:space="0"/>
              <w:right w:val="single" w:color="auto" w:sz="4" w:space="0"/>
            </w:tcBorders>
            <w:noWrap w:val="0"/>
            <w:vAlign w:val="center"/>
          </w:tcPr>
          <w:p w14:paraId="49B8C47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w:t>
            </w:r>
          </w:p>
        </w:tc>
      </w:tr>
      <w:tr w14:paraId="786C67E2">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1B192BA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70 </w:t>
            </w:r>
          </w:p>
        </w:tc>
        <w:tc>
          <w:tcPr>
            <w:tcW w:w="1080" w:type="dxa"/>
            <w:vMerge w:val="restart"/>
            <w:tcBorders>
              <w:top w:val="nil"/>
              <w:left w:val="single" w:color="auto" w:sz="4" w:space="0"/>
              <w:bottom w:val="single" w:color="000000" w:sz="4" w:space="0"/>
              <w:right w:val="single" w:color="auto" w:sz="4" w:space="0"/>
            </w:tcBorders>
            <w:noWrap w:val="0"/>
            <w:vAlign w:val="center"/>
          </w:tcPr>
          <w:p w14:paraId="12BADA0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检修运行</w:t>
            </w:r>
          </w:p>
        </w:tc>
        <w:tc>
          <w:tcPr>
            <w:tcW w:w="2480" w:type="dxa"/>
            <w:tcBorders>
              <w:top w:val="nil"/>
              <w:left w:val="nil"/>
              <w:bottom w:val="single" w:color="auto" w:sz="4" w:space="0"/>
              <w:right w:val="single" w:color="auto" w:sz="4" w:space="0"/>
            </w:tcBorders>
            <w:noWrap w:val="0"/>
            <w:vAlign w:val="center"/>
          </w:tcPr>
          <w:p w14:paraId="544E2EB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井道光、电感应装置、磁开关</w:t>
            </w:r>
          </w:p>
        </w:tc>
        <w:tc>
          <w:tcPr>
            <w:tcW w:w="5056" w:type="dxa"/>
            <w:tcBorders>
              <w:top w:val="nil"/>
              <w:left w:val="nil"/>
              <w:bottom w:val="single" w:color="auto" w:sz="4" w:space="0"/>
              <w:right w:val="single" w:color="auto" w:sz="4" w:space="0"/>
            </w:tcBorders>
            <w:noWrap w:val="0"/>
            <w:vAlign w:val="center"/>
          </w:tcPr>
          <w:p w14:paraId="67F3E28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清洁感应表面，检查井道内光、电感应装置、磁性开关的安装位置尺寸，接线可靠</w:t>
            </w:r>
          </w:p>
        </w:tc>
      </w:tr>
      <w:tr w14:paraId="76D4D116">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1169979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71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9489BAB">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61BA78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随行电缆</w:t>
            </w:r>
          </w:p>
        </w:tc>
        <w:tc>
          <w:tcPr>
            <w:tcW w:w="5056" w:type="dxa"/>
            <w:tcBorders>
              <w:top w:val="nil"/>
              <w:left w:val="nil"/>
              <w:bottom w:val="single" w:color="auto" w:sz="4" w:space="0"/>
              <w:right w:val="single" w:color="auto" w:sz="4" w:space="0"/>
            </w:tcBorders>
            <w:noWrap w:val="0"/>
            <w:vAlign w:val="center"/>
          </w:tcPr>
          <w:p w14:paraId="5F61233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无波浪扭曲</w:t>
            </w:r>
          </w:p>
        </w:tc>
      </w:tr>
      <w:tr w14:paraId="0B050605">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083ACFF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72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A6A7EC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7A6ED1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井道照明</w:t>
            </w:r>
          </w:p>
        </w:tc>
        <w:tc>
          <w:tcPr>
            <w:tcW w:w="5056" w:type="dxa"/>
            <w:tcBorders>
              <w:top w:val="nil"/>
              <w:left w:val="nil"/>
              <w:bottom w:val="single" w:color="auto" w:sz="4" w:space="0"/>
              <w:right w:val="single" w:color="auto" w:sz="4" w:space="0"/>
            </w:tcBorders>
            <w:noWrap w:val="0"/>
            <w:vAlign w:val="center"/>
          </w:tcPr>
          <w:p w14:paraId="63C8C13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完好</w:t>
            </w:r>
          </w:p>
        </w:tc>
      </w:tr>
      <w:tr w14:paraId="65E5A1B7">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42C9F17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73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69679A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C6F1A9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井道线槽</w:t>
            </w:r>
          </w:p>
        </w:tc>
        <w:tc>
          <w:tcPr>
            <w:tcW w:w="5056" w:type="dxa"/>
            <w:tcBorders>
              <w:top w:val="nil"/>
              <w:left w:val="nil"/>
              <w:bottom w:val="single" w:color="auto" w:sz="4" w:space="0"/>
              <w:right w:val="single" w:color="auto" w:sz="4" w:space="0"/>
            </w:tcBorders>
            <w:noWrap w:val="0"/>
            <w:vAlign w:val="center"/>
          </w:tcPr>
          <w:p w14:paraId="71B8C8E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盖板无松动</w:t>
            </w:r>
          </w:p>
        </w:tc>
      </w:tr>
      <w:tr w14:paraId="408E6CE9">
        <w:tblPrEx>
          <w:tblCellMar>
            <w:top w:w="0" w:type="dxa"/>
            <w:left w:w="108" w:type="dxa"/>
            <w:bottom w:w="0" w:type="dxa"/>
            <w:right w:w="108" w:type="dxa"/>
          </w:tblCellMar>
        </w:tblPrEx>
        <w:trPr>
          <w:trHeight w:val="495" w:hRule="atLeast"/>
        </w:trPr>
        <w:tc>
          <w:tcPr>
            <w:tcW w:w="540" w:type="dxa"/>
            <w:tcBorders>
              <w:top w:val="nil"/>
              <w:left w:val="single" w:color="auto" w:sz="4" w:space="0"/>
              <w:bottom w:val="single" w:color="auto" w:sz="4" w:space="0"/>
              <w:right w:val="single" w:color="auto" w:sz="4" w:space="0"/>
            </w:tcBorders>
            <w:noWrap w:val="0"/>
            <w:vAlign w:val="top"/>
          </w:tcPr>
          <w:p w14:paraId="751B5DB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74 </w:t>
            </w:r>
          </w:p>
        </w:tc>
        <w:tc>
          <w:tcPr>
            <w:tcW w:w="1080" w:type="dxa"/>
            <w:vMerge w:val="restart"/>
            <w:tcBorders>
              <w:top w:val="nil"/>
              <w:left w:val="single" w:color="auto" w:sz="4" w:space="0"/>
              <w:bottom w:val="single" w:color="000000" w:sz="4" w:space="0"/>
              <w:right w:val="single" w:color="auto" w:sz="4" w:space="0"/>
            </w:tcBorders>
            <w:noWrap w:val="0"/>
            <w:vAlign w:val="center"/>
          </w:tcPr>
          <w:p w14:paraId="7319A95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特殊项目</w:t>
            </w:r>
          </w:p>
        </w:tc>
        <w:tc>
          <w:tcPr>
            <w:tcW w:w="2480" w:type="dxa"/>
            <w:tcBorders>
              <w:top w:val="nil"/>
              <w:left w:val="nil"/>
              <w:bottom w:val="single" w:color="auto" w:sz="4" w:space="0"/>
              <w:right w:val="single" w:color="auto" w:sz="4" w:space="0"/>
            </w:tcBorders>
            <w:noWrap w:val="0"/>
            <w:vAlign w:val="center"/>
          </w:tcPr>
          <w:p w14:paraId="2681A85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导轨支架</w:t>
            </w:r>
          </w:p>
        </w:tc>
        <w:tc>
          <w:tcPr>
            <w:tcW w:w="5056" w:type="dxa"/>
            <w:tcBorders>
              <w:top w:val="nil"/>
              <w:left w:val="nil"/>
              <w:bottom w:val="single" w:color="auto" w:sz="4" w:space="0"/>
              <w:right w:val="single" w:color="auto" w:sz="4" w:space="0"/>
            </w:tcBorders>
            <w:noWrap w:val="0"/>
            <w:vAlign w:val="center"/>
          </w:tcPr>
          <w:p w14:paraId="040CC0F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在井道顶部、中部、底部分别随机检查2-4个支架螺栓是否紧固。如有松动要全部紧固一遍</w:t>
            </w:r>
          </w:p>
        </w:tc>
      </w:tr>
      <w:tr w14:paraId="6226025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noWrap w:val="0"/>
            <w:vAlign w:val="top"/>
          </w:tcPr>
          <w:p w14:paraId="4E3E0C6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75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DCB80EB">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210FA1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安全钳</w:t>
            </w:r>
          </w:p>
        </w:tc>
        <w:tc>
          <w:tcPr>
            <w:tcW w:w="5056" w:type="dxa"/>
            <w:tcBorders>
              <w:top w:val="nil"/>
              <w:left w:val="nil"/>
              <w:bottom w:val="single" w:color="auto" w:sz="4" w:space="0"/>
              <w:right w:val="single" w:color="auto" w:sz="4" w:space="0"/>
            </w:tcBorders>
            <w:noWrap w:val="0"/>
            <w:vAlign w:val="center"/>
          </w:tcPr>
          <w:p w14:paraId="1EA40CD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清洁、检查安全钳。铅封完好</w:t>
            </w:r>
          </w:p>
        </w:tc>
      </w:tr>
      <w:tr w14:paraId="685605A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noWrap w:val="0"/>
            <w:vAlign w:val="top"/>
          </w:tcPr>
          <w:p w14:paraId="0E816C4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F1633DC">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B83E13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安全钳测试</w:t>
            </w:r>
          </w:p>
        </w:tc>
        <w:tc>
          <w:tcPr>
            <w:tcW w:w="5056" w:type="dxa"/>
            <w:tcBorders>
              <w:top w:val="nil"/>
              <w:left w:val="nil"/>
              <w:bottom w:val="single" w:color="auto" w:sz="4" w:space="0"/>
              <w:right w:val="single" w:color="auto" w:sz="4" w:space="0"/>
            </w:tcBorders>
            <w:noWrap w:val="0"/>
            <w:vAlign w:val="center"/>
          </w:tcPr>
          <w:p w14:paraId="4A73454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动作可靠</w:t>
            </w:r>
          </w:p>
        </w:tc>
      </w:tr>
      <w:tr w14:paraId="09FB2CEE">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0A0F7F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77 </w:t>
            </w:r>
          </w:p>
        </w:tc>
        <w:tc>
          <w:tcPr>
            <w:tcW w:w="1080" w:type="dxa"/>
            <w:vMerge w:val="restart"/>
            <w:tcBorders>
              <w:top w:val="nil"/>
              <w:left w:val="single" w:color="auto" w:sz="4" w:space="0"/>
              <w:bottom w:val="single" w:color="000000" w:sz="4" w:space="0"/>
              <w:right w:val="single" w:color="auto" w:sz="4" w:space="0"/>
            </w:tcBorders>
            <w:noWrap w:val="0"/>
            <w:vAlign w:val="center"/>
          </w:tcPr>
          <w:p w14:paraId="5280D4DE">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门系统</w:t>
            </w:r>
          </w:p>
        </w:tc>
        <w:tc>
          <w:tcPr>
            <w:tcW w:w="2480" w:type="dxa"/>
            <w:tcBorders>
              <w:top w:val="nil"/>
              <w:left w:val="nil"/>
              <w:bottom w:val="single" w:color="auto" w:sz="4" w:space="0"/>
              <w:right w:val="single" w:color="auto" w:sz="4" w:space="0"/>
            </w:tcBorders>
            <w:noWrap w:val="0"/>
            <w:vAlign w:val="center"/>
          </w:tcPr>
          <w:p w14:paraId="03DCACB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厅、轿门悬挂装置</w:t>
            </w:r>
          </w:p>
        </w:tc>
        <w:tc>
          <w:tcPr>
            <w:tcW w:w="5056" w:type="dxa"/>
            <w:tcBorders>
              <w:top w:val="nil"/>
              <w:left w:val="nil"/>
              <w:bottom w:val="single" w:color="auto" w:sz="4" w:space="0"/>
              <w:right w:val="single" w:color="auto" w:sz="4" w:space="0"/>
            </w:tcBorders>
            <w:noWrap w:val="0"/>
            <w:vAlign w:val="center"/>
          </w:tcPr>
          <w:p w14:paraId="2519C49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检查门挂轮和上坎，清洁和润滑，必要时更换滚轮</w:t>
            </w:r>
          </w:p>
        </w:tc>
      </w:tr>
      <w:tr w14:paraId="1BAF4686">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021D435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78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7A1B5F0">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045409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门触点</w:t>
            </w:r>
          </w:p>
        </w:tc>
        <w:tc>
          <w:tcPr>
            <w:tcW w:w="5056" w:type="dxa"/>
            <w:tcBorders>
              <w:top w:val="nil"/>
              <w:left w:val="nil"/>
              <w:bottom w:val="single" w:color="auto" w:sz="4" w:space="0"/>
              <w:right w:val="single" w:color="auto" w:sz="4" w:space="0"/>
            </w:tcBorders>
            <w:noWrap w:val="0"/>
            <w:vAlign w:val="center"/>
          </w:tcPr>
          <w:p w14:paraId="344E2CC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清洁门触点</w:t>
            </w:r>
          </w:p>
        </w:tc>
      </w:tr>
      <w:tr w14:paraId="50639634">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4F54EDA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E579B8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D44C7A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门机装置</w:t>
            </w:r>
          </w:p>
        </w:tc>
        <w:tc>
          <w:tcPr>
            <w:tcW w:w="5056" w:type="dxa"/>
            <w:tcBorders>
              <w:top w:val="nil"/>
              <w:left w:val="nil"/>
              <w:bottom w:val="single" w:color="auto" w:sz="4" w:space="0"/>
              <w:right w:val="single" w:color="auto" w:sz="4" w:space="0"/>
            </w:tcBorders>
            <w:noWrap w:val="0"/>
            <w:vAlign w:val="center"/>
          </w:tcPr>
          <w:p w14:paraId="6E70E26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清洁、调整门机装置</w:t>
            </w:r>
          </w:p>
        </w:tc>
      </w:tr>
      <w:tr w14:paraId="0A468256">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5FC4949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80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B8B55CE">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2FF7F0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轿门微动开关</w:t>
            </w:r>
          </w:p>
        </w:tc>
        <w:tc>
          <w:tcPr>
            <w:tcW w:w="5056" w:type="dxa"/>
            <w:tcBorders>
              <w:top w:val="nil"/>
              <w:left w:val="nil"/>
              <w:bottom w:val="single" w:color="auto" w:sz="4" w:space="0"/>
              <w:right w:val="single" w:color="auto" w:sz="4" w:space="0"/>
            </w:tcBorders>
            <w:noWrap w:val="0"/>
            <w:vAlign w:val="center"/>
          </w:tcPr>
          <w:p w14:paraId="1E56BE0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检查轿门微动开关的安装位置和动作</w:t>
            </w:r>
          </w:p>
        </w:tc>
      </w:tr>
      <w:tr w14:paraId="2F2F9BF5">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76FDA4F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81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11C538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E36757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门机磁鼓</w:t>
            </w:r>
          </w:p>
        </w:tc>
        <w:tc>
          <w:tcPr>
            <w:tcW w:w="5056" w:type="dxa"/>
            <w:tcBorders>
              <w:top w:val="nil"/>
              <w:left w:val="nil"/>
              <w:bottom w:val="single" w:color="auto" w:sz="4" w:space="0"/>
              <w:right w:val="single" w:color="auto" w:sz="4" w:space="0"/>
            </w:tcBorders>
            <w:noWrap w:val="0"/>
            <w:vAlign w:val="center"/>
          </w:tcPr>
          <w:p w14:paraId="13C24D3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检查门机磁鼓的调整</w:t>
            </w:r>
          </w:p>
        </w:tc>
      </w:tr>
      <w:tr w14:paraId="2B235E33">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553DC0F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82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7F8476B">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58D746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门机链条或皮带</w:t>
            </w:r>
          </w:p>
        </w:tc>
        <w:tc>
          <w:tcPr>
            <w:tcW w:w="5056" w:type="dxa"/>
            <w:tcBorders>
              <w:top w:val="nil"/>
              <w:left w:val="nil"/>
              <w:bottom w:val="single" w:color="auto" w:sz="4" w:space="0"/>
              <w:right w:val="single" w:color="auto" w:sz="4" w:space="0"/>
            </w:tcBorders>
            <w:noWrap w:val="0"/>
            <w:vAlign w:val="center"/>
          </w:tcPr>
          <w:p w14:paraId="0380A30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检查门机皮带或链条的张紧度和磨损情况，必要时调整或更换，以符合技术规范</w:t>
            </w:r>
          </w:p>
        </w:tc>
      </w:tr>
      <w:tr w14:paraId="5731C89C">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98A20A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83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7292447">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C70C51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轿门的螺丝螺母</w:t>
            </w:r>
          </w:p>
        </w:tc>
        <w:tc>
          <w:tcPr>
            <w:tcW w:w="5056" w:type="dxa"/>
            <w:tcBorders>
              <w:top w:val="nil"/>
              <w:left w:val="nil"/>
              <w:bottom w:val="single" w:color="auto" w:sz="4" w:space="0"/>
              <w:right w:val="single" w:color="auto" w:sz="4" w:space="0"/>
            </w:tcBorders>
            <w:noWrap w:val="0"/>
            <w:vAlign w:val="center"/>
          </w:tcPr>
          <w:p w14:paraId="326A76B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检查所有厅、轿门的螺丝螺母的紧固</w:t>
            </w:r>
          </w:p>
        </w:tc>
      </w:tr>
      <w:tr w14:paraId="566E64BA">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124E84D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84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138E4B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B46CAC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厅门的螺丝螺母</w:t>
            </w:r>
          </w:p>
        </w:tc>
        <w:tc>
          <w:tcPr>
            <w:tcW w:w="5056" w:type="dxa"/>
            <w:tcBorders>
              <w:top w:val="nil"/>
              <w:left w:val="nil"/>
              <w:bottom w:val="single" w:color="auto" w:sz="4" w:space="0"/>
              <w:right w:val="single" w:color="auto" w:sz="4" w:space="0"/>
            </w:tcBorders>
            <w:noWrap w:val="0"/>
            <w:vAlign w:val="center"/>
          </w:tcPr>
          <w:p w14:paraId="4C4B855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检查所有厅、轿门的螺丝螺母的紧固</w:t>
            </w:r>
          </w:p>
        </w:tc>
      </w:tr>
      <w:tr w14:paraId="76A3D01B">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7ABA23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85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C18EE4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85B7A9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门刀、门球的配合</w:t>
            </w:r>
          </w:p>
        </w:tc>
        <w:tc>
          <w:tcPr>
            <w:tcW w:w="5056" w:type="dxa"/>
            <w:tcBorders>
              <w:top w:val="nil"/>
              <w:left w:val="nil"/>
              <w:bottom w:val="single" w:color="auto" w:sz="4" w:space="0"/>
              <w:right w:val="single" w:color="auto" w:sz="4" w:space="0"/>
            </w:tcBorders>
            <w:noWrap w:val="0"/>
            <w:vAlign w:val="center"/>
          </w:tcPr>
          <w:p w14:paraId="0891261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检查门刀门球的配合尺寸</w:t>
            </w:r>
          </w:p>
        </w:tc>
      </w:tr>
      <w:tr w14:paraId="4DBCF104">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198885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3E8133A">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498F3A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厅门自复装置</w:t>
            </w:r>
          </w:p>
        </w:tc>
        <w:tc>
          <w:tcPr>
            <w:tcW w:w="5056" w:type="dxa"/>
            <w:tcBorders>
              <w:top w:val="nil"/>
              <w:left w:val="nil"/>
              <w:bottom w:val="single" w:color="auto" w:sz="4" w:space="0"/>
              <w:right w:val="single" w:color="auto" w:sz="4" w:space="0"/>
            </w:tcBorders>
            <w:noWrap w:val="0"/>
            <w:vAlign w:val="center"/>
          </w:tcPr>
          <w:p w14:paraId="62B93E7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检查重锤橡皮或关门弹簧的磨损情况，必要时更换。</w:t>
            </w:r>
          </w:p>
        </w:tc>
      </w:tr>
      <w:tr w14:paraId="01AAA7F9">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018BD63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87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3C7B08B">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3C8160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厅门门锁</w:t>
            </w:r>
          </w:p>
        </w:tc>
        <w:tc>
          <w:tcPr>
            <w:tcW w:w="5056" w:type="dxa"/>
            <w:tcBorders>
              <w:top w:val="nil"/>
              <w:left w:val="nil"/>
              <w:bottom w:val="single" w:color="auto" w:sz="4" w:space="0"/>
              <w:right w:val="single" w:color="auto" w:sz="4" w:space="0"/>
            </w:tcBorders>
            <w:noWrap w:val="0"/>
            <w:vAlign w:val="center"/>
          </w:tcPr>
          <w:p w14:paraId="566676A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所有门锁动作可靠，符合技术规范</w:t>
            </w:r>
          </w:p>
        </w:tc>
      </w:tr>
      <w:tr w14:paraId="62C5F528">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06950D2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88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9CF148C">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AAE9C2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厅门门板</w:t>
            </w:r>
          </w:p>
        </w:tc>
        <w:tc>
          <w:tcPr>
            <w:tcW w:w="5056" w:type="dxa"/>
            <w:tcBorders>
              <w:top w:val="nil"/>
              <w:left w:val="nil"/>
              <w:bottom w:val="single" w:color="auto" w:sz="4" w:space="0"/>
              <w:right w:val="single" w:color="auto" w:sz="4" w:space="0"/>
            </w:tcBorders>
            <w:noWrap w:val="0"/>
            <w:vAlign w:val="center"/>
          </w:tcPr>
          <w:p w14:paraId="2BE0C3E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查看厅门门板是否变形</w:t>
            </w:r>
          </w:p>
        </w:tc>
      </w:tr>
      <w:tr w14:paraId="4731C57B">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4C0A5EA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050FDCD">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20F7D7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厅、轿门地坎</w:t>
            </w:r>
          </w:p>
        </w:tc>
        <w:tc>
          <w:tcPr>
            <w:tcW w:w="5056" w:type="dxa"/>
            <w:tcBorders>
              <w:top w:val="nil"/>
              <w:left w:val="nil"/>
              <w:bottom w:val="single" w:color="auto" w:sz="4" w:space="0"/>
              <w:right w:val="single" w:color="auto" w:sz="4" w:space="0"/>
            </w:tcBorders>
            <w:noWrap w:val="0"/>
            <w:vAlign w:val="center"/>
          </w:tcPr>
          <w:p w14:paraId="27DBE46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清洁厅、轿门地坎，检查磨损和变形情况，必要时整修地坎。检查和更换门滑块</w:t>
            </w:r>
          </w:p>
        </w:tc>
      </w:tr>
      <w:tr w14:paraId="50643715">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9149ED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90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3D44B5B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20A365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厅、轿门连杆机构</w:t>
            </w:r>
          </w:p>
        </w:tc>
        <w:tc>
          <w:tcPr>
            <w:tcW w:w="5056" w:type="dxa"/>
            <w:tcBorders>
              <w:top w:val="nil"/>
              <w:left w:val="nil"/>
              <w:bottom w:val="single" w:color="auto" w:sz="4" w:space="0"/>
              <w:right w:val="single" w:color="auto" w:sz="4" w:space="0"/>
            </w:tcBorders>
            <w:noWrap w:val="0"/>
            <w:vAlign w:val="center"/>
          </w:tcPr>
          <w:p w14:paraId="1A0983B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清洁、润滑所有厅、轿门连杆机构</w:t>
            </w:r>
          </w:p>
        </w:tc>
      </w:tr>
      <w:tr w14:paraId="7A98A088">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61C5F74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80" w:type="dxa"/>
            <w:tcBorders>
              <w:top w:val="nil"/>
              <w:left w:val="nil"/>
              <w:bottom w:val="single" w:color="auto" w:sz="4" w:space="0"/>
              <w:right w:val="single" w:color="auto" w:sz="4" w:space="0"/>
            </w:tcBorders>
            <w:noWrap w:val="0"/>
            <w:vAlign w:val="center"/>
          </w:tcPr>
          <w:p w14:paraId="78045D6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FA7B0F2">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五、</w:t>
            </w:r>
            <w:r>
              <w:rPr>
                <w:rFonts w:hint="default" w:ascii="Times New Roman" w:hAnsi="Times New Roman" w:eastAsia="方正仿宋_GBK" w:cs="Times New Roman"/>
                <w:b/>
                <w:bCs/>
                <w:color w:val="auto"/>
                <w:kern w:val="0"/>
                <w:sz w:val="18"/>
                <w:szCs w:val="18"/>
              </w:rPr>
              <w:t>底坑</w:t>
            </w:r>
          </w:p>
        </w:tc>
        <w:tc>
          <w:tcPr>
            <w:tcW w:w="5056" w:type="dxa"/>
            <w:tcBorders>
              <w:top w:val="nil"/>
              <w:left w:val="nil"/>
              <w:bottom w:val="single" w:color="auto" w:sz="4" w:space="0"/>
              <w:right w:val="single" w:color="auto" w:sz="4" w:space="0"/>
            </w:tcBorders>
            <w:noWrap w:val="0"/>
            <w:vAlign w:val="center"/>
          </w:tcPr>
          <w:p w14:paraId="796F08A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14:paraId="18356647">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49F7BF0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91 </w:t>
            </w:r>
          </w:p>
        </w:tc>
        <w:tc>
          <w:tcPr>
            <w:tcW w:w="1080" w:type="dxa"/>
            <w:vMerge w:val="restart"/>
            <w:tcBorders>
              <w:top w:val="nil"/>
              <w:left w:val="single" w:color="auto" w:sz="4" w:space="0"/>
              <w:bottom w:val="single" w:color="000000" w:sz="4" w:space="0"/>
              <w:right w:val="single" w:color="auto" w:sz="4" w:space="0"/>
            </w:tcBorders>
            <w:noWrap w:val="0"/>
            <w:vAlign w:val="center"/>
          </w:tcPr>
          <w:p w14:paraId="22FE89A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底坑</w:t>
            </w:r>
          </w:p>
        </w:tc>
        <w:tc>
          <w:tcPr>
            <w:tcW w:w="2480" w:type="dxa"/>
            <w:tcBorders>
              <w:top w:val="nil"/>
              <w:left w:val="nil"/>
              <w:bottom w:val="single" w:color="auto" w:sz="4" w:space="0"/>
              <w:right w:val="single" w:color="auto" w:sz="4" w:space="0"/>
            </w:tcBorders>
            <w:noWrap w:val="0"/>
            <w:vAlign w:val="center"/>
          </w:tcPr>
          <w:p w14:paraId="6684CED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底坑急停开关</w:t>
            </w:r>
          </w:p>
        </w:tc>
        <w:tc>
          <w:tcPr>
            <w:tcW w:w="5056" w:type="dxa"/>
            <w:tcBorders>
              <w:top w:val="nil"/>
              <w:left w:val="nil"/>
              <w:bottom w:val="single" w:color="auto" w:sz="4" w:space="0"/>
              <w:right w:val="single" w:color="auto" w:sz="4" w:space="0"/>
            </w:tcBorders>
            <w:noWrap w:val="0"/>
            <w:vAlign w:val="center"/>
          </w:tcPr>
          <w:p w14:paraId="6B4264F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动作可靠</w:t>
            </w:r>
          </w:p>
        </w:tc>
      </w:tr>
      <w:tr w14:paraId="18C12FC2">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036956E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92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B65F6F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E35855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底坑照明</w:t>
            </w:r>
          </w:p>
        </w:tc>
        <w:tc>
          <w:tcPr>
            <w:tcW w:w="5056" w:type="dxa"/>
            <w:tcBorders>
              <w:top w:val="nil"/>
              <w:left w:val="nil"/>
              <w:bottom w:val="single" w:color="auto" w:sz="4" w:space="0"/>
              <w:right w:val="single" w:color="auto" w:sz="4" w:space="0"/>
            </w:tcBorders>
            <w:noWrap w:val="0"/>
            <w:vAlign w:val="center"/>
          </w:tcPr>
          <w:p w14:paraId="5D5F29A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完好</w:t>
            </w:r>
          </w:p>
        </w:tc>
      </w:tr>
      <w:tr w14:paraId="19568C5D">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5B6BBB51">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93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C2C4C95">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2B97A4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补偿绳张紧装置</w:t>
            </w:r>
          </w:p>
        </w:tc>
        <w:tc>
          <w:tcPr>
            <w:tcW w:w="5056" w:type="dxa"/>
            <w:tcBorders>
              <w:top w:val="nil"/>
              <w:left w:val="nil"/>
              <w:bottom w:val="single" w:color="auto" w:sz="4" w:space="0"/>
              <w:right w:val="single" w:color="auto" w:sz="4" w:space="0"/>
            </w:tcBorders>
            <w:noWrap w:val="0"/>
            <w:vAlign w:val="center"/>
          </w:tcPr>
          <w:p w14:paraId="35BD48B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检查开关和挡杆间的尺寸，检查开关动作是否灵敏有效</w:t>
            </w:r>
          </w:p>
        </w:tc>
      </w:tr>
      <w:tr w14:paraId="04717E06">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75EBF5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94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3A48EF3">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E295EE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限速器钢丝绳张紧装置</w:t>
            </w:r>
          </w:p>
        </w:tc>
        <w:tc>
          <w:tcPr>
            <w:tcW w:w="5056" w:type="dxa"/>
            <w:tcBorders>
              <w:top w:val="nil"/>
              <w:left w:val="nil"/>
              <w:bottom w:val="single" w:color="auto" w:sz="4" w:space="0"/>
              <w:right w:val="single" w:color="auto" w:sz="4" w:space="0"/>
            </w:tcBorders>
            <w:noWrap w:val="0"/>
            <w:vAlign w:val="center"/>
          </w:tcPr>
          <w:p w14:paraId="0542EE0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查看限速器钢丝绳延伸，开关动作尺寸符合技术要求</w:t>
            </w:r>
          </w:p>
        </w:tc>
      </w:tr>
      <w:tr w14:paraId="4E0F5DD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0133AF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95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205F57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7E3F93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补偿绳张紧度</w:t>
            </w:r>
          </w:p>
        </w:tc>
        <w:tc>
          <w:tcPr>
            <w:tcW w:w="5056" w:type="dxa"/>
            <w:tcBorders>
              <w:top w:val="nil"/>
              <w:left w:val="nil"/>
              <w:bottom w:val="single" w:color="auto" w:sz="4" w:space="0"/>
              <w:right w:val="single" w:color="auto" w:sz="4" w:space="0"/>
            </w:tcBorders>
            <w:noWrap w:val="0"/>
            <w:vAlign w:val="center"/>
          </w:tcPr>
          <w:p w14:paraId="7FDCAA2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松紧一致</w:t>
            </w:r>
          </w:p>
        </w:tc>
      </w:tr>
      <w:tr w14:paraId="6FBCEB1B">
        <w:tblPrEx>
          <w:tblCellMar>
            <w:top w:w="0" w:type="dxa"/>
            <w:left w:w="108" w:type="dxa"/>
            <w:bottom w:w="0" w:type="dxa"/>
            <w:right w:w="108" w:type="dxa"/>
          </w:tblCellMar>
        </w:tblPrEx>
        <w:trPr>
          <w:trHeight w:val="495" w:hRule="atLeast"/>
        </w:trPr>
        <w:tc>
          <w:tcPr>
            <w:tcW w:w="540" w:type="dxa"/>
            <w:tcBorders>
              <w:top w:val="nil"/>
              <w:left w:val="single" w:color="auto" w:sz="4" w:space="0"/>
              <w:bottom w:val="single" w:color="auto" w:sz="4" w:space="0"/>
              <w:right w:val="single" w:color="auto" w:sz="4" w:space="0"/>
            </w:tcBorders>
            <w:noWrap w:val="0"/>
            <w:vAlign w:val="top"/>
          </w:tcPr>
          <w:p w14:paraId="79BDE90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132ABAC">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7533B8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补偿链</w:t>
            </w:r>
          </w:p>
        </w:tc>
        <w:tc>
          <w:tcPr>
            <w:tcW w:w="5056" w:type="dxa"/>
            <w:tcBorders>
              <w:top w:val="nil"/>
              <w:left w:val="nil"/>
              <w:bottom w:val="single" w:color="auto" w:sz="4" w:space="0"/>
              <w:right w:val="single" w:color="auto" w:sz="4" w:space="0"/>
            </w:tcBorders>
            <w:noWrap w:val="0"/>
            <w:vAlign w:val="center"/>
          </w:tcPr>
          <w:p w14:paraId="56E0101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检查轿底、对重底补偿链的保险钢丝绳是否连接牢固。补偿链距地面大于100毫米。导向装置完好</w:t>
            </w:r>
          </w:p>
        </w:tc>
      </w:tr>
      <w:tr w14:paraId="1F30D506">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EEDCD9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97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781D8EF">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20B5DD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曳引钢丝绳延伸</w:t>
            </w:r>
          </w:p>
        </w:tc>
        <w:tc>
          <w:tcPr>
            <w:tcW w:w="5056" w:type="dxa"/>
            <w:tcBorders>
              <w:top w:val="nil"/>
              <w:left w:val="nil"/>
              <w:bottom w:val="single" w:color="auto" w:sz="4" w:space="0"/>
              <w:right w:val="single" w:color="auto" w:sz="4" w:space="0"/>
            </w:tcBorders>
            <w:noWrap w:val="0"/>
            <w:vAlign w:val="center"/>
          </w:tcPr>
          <w:p w14:paraId="79B3DBF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对重与缓冲器的间距符合要求</w:t>
            </w:r>
          </w:p>
        </w:tc>
      </w:tr>
      <w:tr w14:paraId="7B8BEEBB">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69388C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98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707961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510E73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液压缓冲器开关</w:t>
            </w:r>
          </w:p>
        </w:tc>
        <w:tc>
          <w:tcPr>
            <w:tcW w:w="5056" w:type="dxa"/>
            <w:tcBorders>
              <w:top w:val="nil"/>
              <w:left w:val="nil"/>
              <w:bottom w:val="single" w:color="auto" w:sz="4" w:space="0"/>
              <w:right w:val="single" w:color="auto" w:sz="4" w:space="0"/>
            </w:tcBorders>
            <w:noWrap w:val="0"/>
            <w:vAlign w:val="center"/>
          </w:tcPr>
          <w:p w14:paraId="439D756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检查开关动作是否灵敏有效</w:t>
            </w:r>
          </w:p>
        </w:tc>
      </w:tr>
      <w:tr w14:paraId="3CD9A2EC">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C5465D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5F3EA8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1FDA79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液压缓冲器油量</w:t>
            </w:r>
          </w:p>
        </w:tc>
        <w:tc>
          <w:tcPr>
            <w:tcW w:w="5056" w:type="dxa"/>
            <w:tcBorders>
              <w:top w:val="nil"/>
              <w:left w:val="nil"/>
              <w:bottom w:val="single" w:color="auto" w:sz="4" w:space="0"/>
              <w:right w:val="single" w:color="auto" w:sz="4" w:space="0"/>
            </w:tcBorders>
            <w:noWrap w:val="0"/>
            <w:vAlign w:val="center"/>
          </w:tcPr>
          <w:p w14:paraId="56EECEF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更换液压油</w:t>
            </w:r>
          </w:p>
        </w:tc>
      </w:tr>
      <w:tr w14:paraId="5BA3EB7D">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09FD339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100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AEA591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E6EB22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轿底平衡块</w:t>
            </w:r>
          </w:p>
        </w:tc>
        <w:tc>
          <w:tcPr>
            <w:tcW w:w="5056" w:type="dxa"/>
            <w:tcBorders>
              <w:top w:val="nil"/>
              <w:left w:val="nil"/>
              <w:bottom w:val="single" w:color="auto" w:sz="4" w:space="0"/>
              <w:right w:val="single" w:color="auto" w:sz="4" w:space="0"/>
            </w:tcBorders>
            <w:noWrap w:val="0"/>
            <w:vAlign w:val="center"/>
          </w:tcPr>
          <w:p w14:paraId="0D43680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检查螺丝是否紧固</w:t>
            </w:r>
          </w:p>
        </w:tc>
      </w:tr>
      <w:tr w14:paraId="14C7469F">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3B7D64A1">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101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6ABDB8E">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899F7C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随行电缆</w:t>
            </w:r>
          </w:p>
        </w:tc>
        <w:tc>
          <w:tcPr>
            <w:tcW w:w="5056" w:type="dxa"/>
            <w:tcBorders>
              <w:top w:val="nil"/>
              <w:left w:val="nil"/>
              <w:bottom w:val="single" w:color="auto" w:sz="4" w:space="0"/>
              <w:right w:val="single" w:color="auto" w:sz="4" w:space="0"/>
            </w:tcBorders>
            <w:noWrap w:val="0"/>
            <w:vAlign w:val="center"/>
          </w:tcPr>
          <w:p w14:paraId="72B4D04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轿底悬挂装置可靠固定</w:t>
            </w:r>
          </w:p>
        </w:tc>
      </w:tr>
      <w:tr w14:paraId="3DD7F6E4">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202C81E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102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3B9FAC8D">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76B9F3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底坑安全门开关</w:t>
            </w:r>
          </w:p>
        </w:tc>
        <w:tc>
          <w:tcPr>
            <w:tcW w:w="5056" w:type="dxa"/>
            <w:tcBorders>
              <w:top w:val="nil"/>
              <w:left w:val="nil"/>
              <w:bottom w:val="single" w:color="auto" w:sz="4" w:space="0"/>
              <w:right w:val="single" w:color="auto" w:sz="4" w:space="0"/>
            </w:tcBorders>
            <w:noWrap w:val="0"/>
            <w:vAlign w:val="center"/>
          </w:tcPr>
          <w:p w14:paraId="15ED385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动作可靠</w:t>
            </w:r>
          </w:p>
        </w:tc>
      </w:tr>
      <w:tr w14:paraId="4A3313B3">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5566F79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103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F8732E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4FD33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清洁安全钳锲块</w:t>
            </w:r>
          </w:p>
        </w:tc>
        <w:tc>
          <w:tcPr>
            <w:tcW w:w="5056" w:type="dxa"/>
            <w:tcBorders>
              <w:top w:val="nil"/>
              <w:left w:val="nil"/>
              <w:bottom w:val="single" w:color="auto" w:sz="4" w:space="0"/>
              <w:right w:val="single" w:color="auto" w:sz="4" w:space="0"/>
            </w:tcBorders>
            <w:noWrap w:val="0"/>
            <w:vAlign w:val="center"/>
          </w:tcPr>
          <w:p w14:paraId="752007A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清洁安全钳锲块</w:t>
            </w:r>
          </w:p>
        </w:tc>
      </w:tr>
      <w:tr w14:paraId="5332917A">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769EFE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104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050FE0A">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2ED96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清洁底坑</w:t>
            </w:r>
          </w:p>
        </w:tc>
        <w:tc>
          <w:tcPr>
            <w:tcW w:w="5056" w:type="dxa"/>
            <w:tcBorders>
              <w:top w:val="nil"/>
              <w:left w:val="nil"/>
              <w:bottom w:val="single" w:color="auto" w:sz="4" w:space="0"/>
              <w:right w:val="single" w:color="auto" w:sz="4" w:space="0"/>
            </w:tcBorders>
            <w:noWrap w:val="0"/>
            <w:vAlign w:val="center"/>
          </w:tcPr>
          <w:p w14:paraId="700265C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底坑清洁干燥</w:t>
            </w:r>
          </w:p>
        </w:tc>
      </w:tr>
      <w:tr w14:paraId="02D2C13A">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58295F3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80" w:type="dxa"/>
            <w:tcBorders>
              <w:top w:val="nil"/>
              <w:left w:val="nil"/>
              <w:bottom w:val="single" w:color="auto" w:sz="4" w:space="0"/>
              <w:right w:val="single" w:color="auto" w:sz="4" w:space="0"/>
            </w:tcBorders>
            <w:noWrap w:val="0"/>
            <w:vAlign w:val="center"/>
          </w:tcPr>
          <w:p w14:paraId="1758F84D">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top"/>
          </w:tcPr>
          <w:p w14:paraId="7D3563BF">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六、</w:t>
            </w:r>
            <w:r>
              <w:rPr>
                <w:rFonts w:hint="default" w:ascii="Times New Roman" w:hAnsi="Times New Roman" w:eastAsia="方正仿宋_GBK" w:cs="Times New Roman"/>
                <w:b/>
                <w:bCs/>
                <w:color w:val="auto"/>
                <w:kern w:val="0"/>
                <w:sz w:val="18"/>
                <w:szCs w:val="18"/>
              </w:rPr>
              <w:t>收尾工作</w:t>
            </w:r>
          </w:p>
        </w:tc>
        <w:tc>
          <w:tcPr>
            <w:tcW w:w="5056" w:type="dxa"/>
            <w:tcBorders>
              <w:top w:val="nil"/>
              <w:left w:val="nil"/>
              <w:bottom w:val="single" w:color="auto" w:sz="4" w:space="0"/>
              <w:right w:val="single" w:color="auto" w:sz="4" w:space="0"/>
            </w:tcBorders>
            <w:noWrap w:val="0"/>
            <w:vAlign w:val="top"/>
          </w:tcPr>
          <w:p w14:paraId="63CD33A6">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14:paraId="5FBFDA6E">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35D47D2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105 </w:t>
            </w:r>
          </w:p>
        </w:tc>
        <w:tc>
          <w:tcPr>
            <w:tcW w:w="1080" w:type="dxa"/>
            <w:vMerge w:val="restart"/>
            <w:tcBorders>
              <w:top w:val="nil"/>
              <w:left w:val="single" w:color="auto" w:sz="4" w:space="0"/>
              <w:bottom w:val="single" w:color="000000" w:sz="4" w:space="0"/>
              <w:right w:val="single" w:color="auto" w:sz="4" w:space="0"/>
            </w:tcBorders>
            <w:noWrap w:val="0"/>
            <w:vAlign w:val="center"/>
          </w:tcPr>
          <w:p w14:paraId="48E7556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1B91C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检视工具、抹布等</w:t>
            </w:r>
          </w:p>
        </w:tc>
        <w:tc>
          <w:tcPr>
            <w:tcW w:w="5056" w:type="dxa"/>
            <w:tcBorders>
              <w:top w:val="nil"/>
              <w:left w:val="nil"/>
              <w:bottom w:val="single" w:color="auto" w:sz="4" w:space="0"/>
              <w:right w:val="single" w:color="auto" w:sz="4" w:space="0"/>
            </w:tcBorders>
            <w:noWrap w:val="0"/>
            <w:vAlign w:val="center"/>
          </w:tcPr>
          <w:p w14:paraId="7392BA2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清点工具，确保没有遗失在机房或井道某处，造成隐患</w:t>
            </w:r>
          </w:p>
        </w:tc>
      </w:tr>
      <w:tr w14:paraId="4221F2FB">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1C58987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1B56B0E">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C9453C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恢复正常运行</w:t>
            </w:r>
          </w:p>
        </w:tc>
        <w:tc>
          <w:tcPr>
            <w:tcW w:w="5056" w:type="dxa"/>
            <w:tcBorders>
              <w:top w:val="nil"/>
              <w:left w:val="nil"/>
              <w:bottom w:val="single" w:color="auto" w:sz="4" w:space="0"/>
              <w:right w:val="single" w:color="auto" w:sz="4" w:space="0"/>
            </w:tcBorders>
            <w:noWrap w:val="0"/>
            <w:vAlign w:val="center"/>
          </w:tcPr>
          <w:p w14:paraId="1BFAA02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恢复电梯的正常运行</w:t>
            </w:r>
          </w:p>
        </w:tc>
      </w:tr>
      <w:tr w14:paraId="4DA901E7">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23CB23C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107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9226F67">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F02EF6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移走警示牌</w:t>
            </w:r>
          </w:p>
        </w:tc>
        <w:tc>
          <w:tcPr>
            <w:tcW w:w="5056" w:type="dxa"/>
            <w:tcBorders>
              <w:top w:val="nil"/>
              <w:left w:val="nil"/>
              <w:bottom w:val="single" w:color="auto" w:sz="4" w:space="0"/>
              <w:right w:val="single" w:color="auto" w:sz="4" w:space="0"/>
            </w:tcBorders>
            <w:noWrap w:val="0"/>
            <w:vAlign w:val="center"/>
          </w:tcPr>
          <w:p w14:paraId="4DD5681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移走警示牌</w:t>
            </w:r>
          </w:p>
        </w:tc>
      </w:tr>
      <w:tr w14:paraId="30201A12">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090A4FE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108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430F28B">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4AEAA1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填写机房记事表和保养记录单</w:t>
            </w:r>
          </w:p>
        </w:tc>
        <w:tc>
          <w:tcPr>
            <w:tcW w:w="5056" w:type="dxa"/>
            <w:tcBorders>
              <w:top w:val="nil"/>
              <w:left w:val="nil"/>
              <w:bottom w:val="single" w:color="auto" w:sz="4" w:space="0"/>
              <w:right w:val="single" w:color="auto" w:sz="4" w:space="0"/>
            </w:tcBorders>
            <w:noWrap w:val="0"/>
            <w:vAlign w:val="center"/>
          </w:tcPr>
          <w:p w14:paraId="2EE6D52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按照规范填写机房记事表和保养记录单</w:t>
            </w:r>
          </w:p>
        </w:tc>
      </w:tr>
      <w:tr w14:paraId="2CD53A3B">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3C2A21C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7EB8B15">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8FD90B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客户沟通</w:t>
            </w:r>
          </w:p>
        </w:tc>
        <w:tc>
          <w:tcPr>
            <w:tcW w:w="5056" w:type="dxa"/>
            <w:tcBorders>
              <w:top w:val="nil"/>
              <w:left w:val="nil"/>
              <w:bottom w:val="single" w:color="auto" w:sz="4" w:space="0"/>
              <w:right w:val="single" w:color="auto" w:sz="4" w:space="0"/>
            </w:tcBorders>
            <w:noWrap w:val="0"/>
            <w:vAlign w:val="center"/>
          </w:tcPr>
          <w:p w14:paraId="54D2CFC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通报客户保养已完成，请客户在记录单上签字。告知客户应该注意或采取措施的事项</w:t>
            </w:r>
          </w:p>
        </w:tc>
      </w:tr>
    </w:tbl>
    <w:p w14:paraId="53B1EEF1">
      <w:pPr>
        <w:pStyle w:val="24"/>
        <w:numPr>
          <w:ilvl w:val="0"/>
          <w:numId w:val="0"/>
        </w:numPr>
        <w:spacing w:line="360" w:lineRule="exact"/>
        <w:ind w:leftChars="0" w:firstLine="482" w:firstLineChars="200"/>
        <w:rPr>
          <w:rFonts w:hint="eastAsia" w:cs="仿宋" w:asciiTheme="minorEastAsia" w:hAnsiTheme="minorEastAsia" w:eastAsiaTheme="minorEastAsia"/>
          <w:b/>
          <w:color w:val="auto"/>
          <w:kern w:val="0"/>
          <w:sz w:val="24"/>
          <w:szCs w:val="24"/>
          <w:lang w:val="en-US" w:eastAsia="zh-CN"/>
        </w:rPr>
      </w:pPr>
    </w:p>
    <w:p w14:paraId="1FD206AF">
      <w:pPr>
        <w:pStyle w:val="24"/>
        <w:numPr>
          <w:ilvl w:val="0"/>
          <w:numId w:val="0"/>
        </w:numPr>
        <w:spacing w:line="360" w:lineRule="exact"/>
        <w:ind w:leftChars="0" w:firstLine="480" w:firstLineChars="200"/>
        <w:rPr>
          <w:rFonts w:hint="eastAsia" w:ascii="方正黑体_GBK" w:hAnsi="方正黑体_GBK" w:eastAsia="方正黑体_GBK" w:cs="方正黑体_GBK"/>
          <w:b w:val="0"/>
          <w:bCs/>
          <w:color w:val="auto"/>
          <w:kern w:val="0"/>
          <w:sz w:val="24"/>
          <w:szCs w:val="24"/>
        </w:rPr>
      </w:pPr>
      <w:r>
        <w:rPr>
          <w:rFonts w:hint="eastAsia" w:ascii="方正黑体_GBK" w:hAnsi="方正黑体_GBK" w:eastAsia="方正黑体_GBK" w:cs="方正黑体_GBK"/>
          <w:b w:val="0"/>
          <w:bCs/>
          <w:color w:val="auto"/>
          <w:kern w:val="0"/>
          <w:sz w:val="24"/>
          <w:szCs w:val="24"/>
          <w:lang w:val="en-US" w:eastAsia="zh-CN"/>
        </w:rPr>
        <w:t>四、</w:t>
      </w:r>
      <w:r>
        <w:rPr>
          <w:rFonts w:hint="eastAsia" w:ascii="方正黑体_GBK" w:hAnsi="方正黑体_GBK" w:eastAsia="方正黑体_GBK" w:cs="方正黑体_GBK"/>
          <w:b w:val="0"/>
          <w:bCs/>
          <w:color w:val="auto"/>
          <w:kern w:val="0"/>
          <w:sz w:val="24"/>
          <w:szCs w:val="24"/>
        </w:rPr>
        <w:t>服务时间要求</w:t>
      </w:r>
    </w:p>
    <w:p w14:paraId="20C6523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乙方应设立24小时专业维保人员值班，值班电话必须确保畅通，保证接到故障通知后及时给予排除，接到电梯困人故障报告后，维修人员及时抵达维保电梯所在地实施现场救援，抵达</w:t>
      </w:r>
      <w:r>
        <w:rPr>
          <w:rFonts w:hint="default" w:ascii="Times New Roman" w:hAnsi="Times New Roman" w:eastAsia="方正仿宋_GBK" w:cs="Times New Roman"/>
          <w:color w:val="auto"/>
          <w:kern w:val="0"/>
          <w:sz w:val="24"/>
          <w:lang w:val="en-US" w:eastAsia="zh-CN"/>
        </w:rPr>
        <w:t>现场</w:t>
      </w:r>
      <w:r>
        <w:rPr>
          <w:rFonts w:hint="default" w:ascii="Times New Roman" w:hAnsi="Times New Roman" w:eastAsia="方正仿宋_GBK" w:cs="Times New Roman"/>
          <w:color w:val="auto"/>
          <w:kern w:val="0"/>
          <w:sz w:val="24"/>
        </w:rPr>
        <w:t>时间不超过30分钟（以甲方通知时间为起止时间）</w:t>
      </w:r>
      <w:r>
        <w:rPr>
          <w:rFonts w:hint="default" w:ascii="Times New Roman" w:hAnsi="Times New Roman" w:eastAsia="方正仿宋_GBK" w:cs="Times New Roman"/>
          <w:color w:val="auto"/>
          <w:kern w:val="0"/>
          <w:sz w:val="24"/>
          <w:lang w:eastAsia="zh-CN"/>
        </w:rPr>
        <w:t>；</w:t>
      </w:r>
      <w:r>
        <w:rPr>
          <w:rFonts w:hint="default" w:ascii="Times New Roman" w:hAnsi="Times New Roman" w:eastAsia="方正仿宋_GBK" w:cs="Times New Roman"/>
          <w:color w:val="auto"/>
          <w:kern w:val="0"/>
          <w:sz w:val="24"/>
          <w:lang w:val="en-US" w:eastAsia="zh-CN"/>
        </w:rPr>
        <w:t>接到一般故障通知后抵达现场时间不超过1小时</w:t>
      </w:r>
      <w:r>
        <w:rPr>
          <w:rFonts w:hint="default" w:ascii="Times New Roman" w:hAnsi="Times New Roman" w:eastAsia="方正仿宋_GBK" w:cs="Times New Roman"/>
          <w:color w:val="auto"/>
          <w:kern w:val="0"/>
          <w:sz w:val="24"/>
        </w:rPr>
        <w:t>。</w:t>
      </w:r>
    </w:p>
    <w:p w14:paraId="1A95537F">
      <w:pPr>
        <w:pStyle w:val="7"/>
        <w:spacing w:line="360" w:lineRule="exact"/>
        <w:ind w:firstLine="480" w:firstLineChars="200"/>
        <w:rPr>
          <w:rFonts w:hint="eastAsia" w:ascii="方正黑体_GBK" w:hAnsi="方正黑体_GBK" w:eastAsia="方正黑体_GBK" w:cs="方正黑体_GBK"/>
          <w:b w:val="0"/>
          <w:bCs/>
          <w:color w:val="auto"/>
          <w:sz w:val="24"/>
        </w:rPr>
      </w:pPr>
      <w:r>
        <w:rPr>
          <w:rFonts w:hint="eastAsia" w:ascii="方正黑体_GBK" w:hAnsi="方正黑体_GBK" w:eastAsia="方正黑体_GBK" w:cs="方正黑体_GBK"/>
          <w:b w:val="0"/>
          <w:bCs/>
          <w:color w:val="auto"/>
          <w:sz w:val="24"/>
          <w:lang w:val="en-US" w:eastAsia="zh-CN"/>
        </w:rPr>
        <w:t>五</w:t>
      </w:r>
      <w:r>
        <w:rPr>
          <w:rFonts w:hint="eastAsia" w:ascii="方正黑体_GBK" w:hAnsi="方正黑体_GBK" w:eastAsia="方正黑体_GBK" w:cs="方正黑体_GBK"/>
          <w:b w:val="0"/>
          <w:bCs/>
          <w:color w:val="auto"/>
          <w:sz w:val="24"/>
        </w:rPr>
        <w:t>、</w:t>
      </w:r>
      <w:r>
        <w:rPr>
          <w:rFonts w:hint="eastAsia" w:ascii="方正黑体_GBK" w:hAnsi="方正黑体_GBK" w:eastAsia="方正黑体_GBK" w:cs="方正黑体_GBK"/>
          <w:b w:val="0"/>
          <w:bCs/>
          <w:color w:val="auto"/>
          <w:sz w:val="24"/>
          <w:lang w:val="en-US" w:eastAsia="zh-CN"/>
        </w:rPr>
        <w:t>服务质量评价</w:t>
      </w:r>
      <w:r>
        <w:rPr>
          <w:rFonts w:hint="eastAsia" w:ascii="方正黑体_GBK" w:hAnsi="方正黑体_GBK" w:eastAsia="方正黑体_GBK" w:cs="方正黑体_GBK"/>
          <w:b w:val="0"/>
          <w:bCs/>
          <w:color w:val="auto"/>
          <w:sz w:val="24"/>
        </w:rPr>
        <w:t>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55"/>
        <w:gridCol w:w="675"/>
        <w:gridCol w:w="5389"/>
        <w:gridCol w:w="615"/>
      </w:tblGrid>
      <w:tr w14:paraId="6E17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724F2BF0">
            <w:pPr>
              <w:ind w:left="-46" w:leftChars="-22" w:firstLine="46" w:firstLineChars="22"/>
              <w:jc w:val="center"/>
              <w:rPr>
                <w:rFonts w:hint="eastAsia" w:ascii="Times New Roman" w:hAnsi="Times New Roman" w:eastAsia="方正仿宋_GBK" w:cs="Times New Roman"/>
                <w:b/>
                <w:bCs/>
                <w:color w:val="auto"/>
                <w:szCs w:val="21"/>
                <w:lang w:eastAsia="zh-CN"/>
              </w:rPr>
            </w:pPr>
            <w:bookmarkStart w:id="27" w:name="_Toc340223149"/>
            <w:bookmarkStart w:id="28" w:name="_Toc425865946"/>
            <w:bookmarkStart w:id="29" w:name="_Toc267320053"/>
            <w:r>
              <w:rPr>
                <w:rFonts w:hint="eastAsia" w:ascii="Times New Roman" w:hAnsi="Times New Roman" w:eastAsia="方正仿宋_GBK" w:cs="Times New Roman"/>
                <w:b/>
                <w:bCs/>
                <w:color w:val="auto"/>
                <w:szCs w:val="21"/>
                <w:lang w:val="en-US" w:eastAsia="zh-CN"/>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7AD4B23">
            <w:pPr>
              <w:jc w:val="center"/>
              <w:rPr>
                <w:rFonts w:hint="default" w:ascii="Times New Roman" w:hAnsi="Times New Roman" w:eastAsia="方正仿宋_GBK" w:cs="Times New Roman"/>
                <w:b/>
                <w:bCs/>
                <w:color w:val="auto"/>
                <w:szCs w:val="21"/>
              </w:rPr>
            </w:pPr>
            <w:r>
              <w:rPr>
                <w:rFonts w:hint="eastAsia" w:ascii="Times New Roman" w:hAnsi="Times New Roman" w:eastAsia="方正仿宋_GBK" w:cs="Times New Roman"/>
                <w:b/>
                <w:bCs/>
                <w:color w:val="auto"/>
                <w:szCs w:val="21"/>
                <w:lang w:val="en-US" w:eastAsia="zh-CN"/>
              </w:rPr>
              <w:t>维保部位及项目</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A38B372">
            <w:pPr>
              <w:spacing w:line="240" w:lineRule="atLeast"/>
              <w:jc w:val="center"/>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分值</w:t>
            </w:r>
          </w:p>
        </w:tc>
        <w:tc>
          <w:tcPr>
            <w:tcW w:w="5389" w:type="dxa"/>
            <w:tcBorders>
              <w:top w:val="single" w:color="auto" w:sz="4" w:space="0"/>
              <w:left w:val="single" w:color="auto" w:sz="4" w:space="0"/>
              <w:bottom w:val="single" w:color="auto" w:sz="4" w:space="0"/>
              <w:right w:val="single" w:color="auto" w:sz="4" w:space="0"/>
            </w:tcBorders>
            <w:noWrap w:val="0"/>
            <w:vAlign w:val="center"/>
          </w:tcPr>
          <w:p w14:paraId="5C6AFE66">
            <w:pPr>
              <w:jc w:val="center"/>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检 查 测 试 方 式（按每项扣完为止方法进行）</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7D1EABC">
            <w:pPr>
              <w:jc w:val="center"/>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扣分</w:t>
            </w:r>
          </w:p>
        </w:tc>
      </w:tr>
      <w:tr w14:paraId="6D01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tcBorders>
              <w:top w:val="single" w:color="auto" w:sz="4" w:space="0"/>
              <w:left w:val="single" w:color="auto" w:sz="4" w:space="0"/>
              <w:bottom w:val="single" w:color="auto" w:sz="6" w:space="0"/>
              <w:right w:val="single" w:color="auto" w:sz="4" w:space="0"/>
            </w:tcBorders>
            <w:noWrap w:val="0"/>
            <w:vAlign w:val="center"/>
          </w:tcPr>
          <w:p w14:paraId="4219B2DC">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w:t>
            </w:r>
          </w:p>
        </w:tc>
        <w:tc>
          <w:tcPr>
            <w:tcW w:w="1755" w:type="dxa"/>
            <w:tcBorders>
              <w:top w:val="single" w:color="auto" w:sz="4" w:space="0"/>
              <w:left w:val="single" w:color="auto" w:sz="4" w:space="0"/>
              <w:bottom w:val="single" w:color="auto" w:sz="6" w:space="0"/>
              <w:right w:val="single" w:color="auto" w:sz="4" w:space="0"/>
            </w:tcBorders>
            <w:noWrap w:val="0"/>
            <w:vAlign w:val="center"/>
          </w:tcPr>
          <w:p w14:paraId="3042567A">
            <w:pPr>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rPr>
              <w:t>准备工作</w:t>
            </w:r>
          </w:p>
        </w:tc>
        <w:tc>
          <w:tcPr>
            <w:tcW w:w="675" w:type="dxa"/>
            <w:tcBorders>
              <w:top w:val="single" w:color="auto" w:sz="4" w:space="0"/>
              <w:left w:val="single" w:color="auto" w:sz="4" w:space="0"/>
              <w:bottom w:val="single" w:color="auto" w:sz="6" w:space="0"/>
              <w:right w:val="single" w:color="auto" w:sz="4" w:space="0"/>
            </w:tcBorders>
            <w:noWrap w:val="0"/>
            <w:vAlign w:val="center"/>
          </w:tcPr>
          <w:p w14:paraId="190B8E40">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10</w:t>
            </w:r>
          </w:p>
        </w:tc>
        <w:tc>
          <w:tcPr>
            <w:tcW w:w="5389" w:type="dxa"/>
            <w:tcBorders>
              <w:top w:val="single" w:color="auto" w:sz="4" w:space="0"/>
              <w:left w:val="single" w:color="auto" w:sz="4" w:space="0"/>
              <w:bottom w:val="single" w:color="auto" w:sz="6" w:space="0"/>
              <w:right w:val="single" w:color="auto" w:sz="4" w:space="0"/>
            </w:tcBorders>
            <w:noWrap w:val="0"/>
            <w:vAlign w:val="center"/>
          </w:tcPr>
          <w:p w14:paraId="25684E12">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没有按合同约定的电扶梯日常维保工作内容进行维护保养工作时，发现一次扣0.5分。</w:t>
            </w:r>
          </w:p>
        </w:tc>
        <w:tc>
          <w:tcPr>
            <w:tcW w:w="615" w:type="dxa"/>
            <w:tcBorders>
              <w:top w:val="single" w:color="auto" w:sz="4" w:space="0"/>
              <w:left w:val="single" w:color="auto" w:sz="4" w:space="0"/>
              <w:bottom w:val="single" w:color="auto" w:sz="6" w:space="0"/>
              <w:right w:val="single" w:color="auto" w:sz="4" w:space="0"/>
            </w:tcBorders>
            <w:noWrap w:val="0"/>
            <w:vAlign w:val="center"/>
          </w:tcPr>
          <w:p w14:paraId="29578709">
            <w:pPr>
              <w:jc w:val="center"/>
              <w:rPr>
                <w:rFonts w:hint="default" w:ascii="Times New Roman" w:hAnsi="Times New Roman" w:eastAsia="方正仿宋_GBK" w:cs="Times New Roman"/>
                <w:color w:val="auto"/>
                <w:szCs w:val="21"/>
              </w:rPr>
            </w:pPr>
          </w:p>
        </w:tc>
      </w:tr>
      <w:tr w14:paraId="0627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4" w:type="dxa"/>
            <w:tcBorders>
              <w:top w:val="single" w:color="auto" w:sz="6" w:space="0"/>
              <w:left w:val="single" w:color="auto" w:sz="4" w:space="0"/>
              <w:bottom w:val="single" w:color="auto" w:sz="6" w:space="0"/>
              <w:right w:val="single" w:color="auto" w:sz="4" w:space="0"/>
            </w:tcBorders>
            <w:noWrap w:val="0"/>
            <w:vAlign w:val="center"/>
          </w:tcPr>
          <w:p w14:paraId="5471B78F">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2</w:t>
            </w:r>
          </w:p>
        </w:tc>
        <w:tc>
          <w:tcPr>
            <w:tcW w:w="1755" w:type="dxa"/>
            <w:tcBorders>
              <w:top w:val="single" w:color="auto" w:sz="6" w:space="0"/>
              <w:left w:val="single" w:color="auto" w:sz="4" w:space="0"/>
              <w:bottom w:val="single" w:color="auto" w:sz="6" w:space="0"/>
              <w:right w:val="single" w:color="auto" w:sz="4" w:space="0"/>
            </w:tcBorders>
            <w:noWrap w:val="0"/>
            <w:vAlign w:val="center"/>
          </w:tcPr>
          <w:p w14:paraId="2FA39B64">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电梯厅，轿厢</w:t>
            </w:r>
          </w:p>
        </w:tc>
        <w:tc>
          <w:tcPr>
            <w:tcW w:w="675" w:type="dxa"/>
            <w:tcBorders>
              <w:top w:val="single" w:color="auto" w:sz="6" w:space="0"/>
              <w:left w:val="single" w:color="auto" w:sz="4" w:space="0"/>
              <w:bottom w:val="single" w:color="auto" w:sz="6" w:space="0"/>
              <w:right w:val="single" w:color="auto" w:sz="4" w:space="0"/>
            </w:tcBorders>
            <w:noWrap w:val="0"/>
            <w:vAlign w:val="center"/>
          </w:tcPr>
          <w:p w14:paraId="35B089AC">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20</w:t>
            </w:r>
          </w:p>
        </w:tc>
        <w:tc>
          <w:tcPr>
            <w:tcW w:w="5389" w:type="dxa"/>
            <w:tcBorders>
              <w:top w:val="single" w:color="auto" w:sz="6" w:space="0"/>
              <w:left w:val="single" w:color="auto" w:sz="4" w:space="0"/>
              <w:bottom w:val="single" w:color="auto" w:sz="6" w:space="0"/>
              <w:right w:val="single" w:color="auto" w:sz="4" w:space="0"/>
            </w:tcBorders>
            <w:noWrap w:val="0"/>
            <w:vAlign w:val="center"/>
          </w:tcPr>
          <w:p w14:paraId="537E5C88">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没有按合同约定的电扶梯日常维保工作内容进行维护保养工作时，发现一次扣1分。</w:t>
            </w:r>
          </w:p>
        </w:tc>
        <w:tc>
          <w:tcPr>
            <w:tcW w:w="615" w:type="dxa"/>
            <w:tcBorders>
              <w:top w:val="single" w:color="auto" w:sz="6" w:space="0"/>
              <w:left w:val="single" w:color="auto" w:sz="4" w:space="0"/>
              <w:bottom w:val="single" w:color="auto" w:sz="6" w:space="0"/>
              <w:right w:val="single" w:color="auto" w:sz="4" w:space="0"/>
            </w:tcBorders>
            <w:noWrap w:val="0"/>
            <w:vAlign w:val="center"/>
          </w:tcPr>
          <w:p w14:paraId="702B3251">
            <w:pPr>
              <w:jc w:val="center"/>
              <w:rPr>
                <w:rFonts w:hint="default" w:ascii="Times New Roman" w:hAnsi="Times New Roman" w:eastAsia="方正仿宋_GBK" w:cs="Times New Roman"/>
                <w:color w:val="auto"/>
                <w:szCs w:val="21"/>
              </w:rPr>
            </w:pPr>
          </w:p>
        </w:tc>
      </w:tr>
      <w:tr w14:paraId="6515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dxa"/>
            <w:tcBorders>
              <w:top w:val="single" w:color="auto" w:sz="6" w:space="0"/>
              <w:left w:val="single" w:color="auto" w:sz="4" w:space="0"/>
              <w:bottom w:val="single" w:color="auto" w:sz="6" w:space="0"/>
              <w:right w:val="single" w:color="auto" w:sz="4" w:space="0"/>
            </w:tcBorders>
            <w:noWrap w:val="0"/>
            <w:vAlign w:val="center"/>
          </w:tcPr>
          <w:p w14:paraId="0AE55EFE">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3</w:t>
            </w:r>
          </w:p>
        </w:tc>
        <w:tc>
          <w:tcPr>
            <w:tcW w:w="1755" w:type="dxa"/>
            <w:tcBorders>
              <w:top w:val="single" w:color="auto" w:sz="6" w:space="0"/>
              <w:left w:val="single" w:color="auto" w:sz="4" w:space="0"/>
              <w:bottom w:val="single" w:color="auto" w:sz="6" w:space="0"/>
              <w:right w:val="single" w:color="auto" w:sz="4" w:space="0"/>
            </w:tcBorders>
            <w:noWrap w:val="0"/>
            <w:vAlign w:val="center"/>
          </w:tcPr>
          <w:p w14:paraId="147C9836">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机房</w:t>
            </w:r>
          </w:p>
        </w:tc>
        <w:tc>
          <w:tcPr>
            <w:tcW w:w="675" w:type="dxa"/>
            <w:tcBorders>
              <w:top w:val="single" w:color="auto" w:sz="6" w:space="0"/>
              <w:left w:val="single" w:color="auto" w:sz="4" w:space="0"/>
              <w:bottom w:val="single" w:color="auto" w:sz="6" w:space="0"/>
              <w:right w:val="single" w:color="auto" w:sz="4" w:space="0"/>
            </w:tcBorders>
            <w:noWrap w:val="0"/>
            <w:vAlign w:val="center"/>
          </w:tcPr>
          <w:p w14:paraId="620181A9">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20</w:t>
            </w:r>
          </w:p>
        </w:tc>
        <w:tc>
          <w:tcPr>
            <w:tcW w:w="5389" w:type="dxa"/>
            <w:tcBorders>
              <w:top w:val="single" w:color="auto" w:sz="6" w:space="0"/>
              <w:left w:val="single" w:color="auto" w:sz="4" w:space="0"/>
              <w:bottom w:val="single" w:color="auto" w:sz="6" w:space="0"/>
              <w:right w:val="single" w:color="auto" w:sz="4" w:space="0"/>
            </w:tcBorders>
            <w:noWrap w:val="0"/>
            <w:vAlign w:val="center"/>
          </w:tcPr>
          <w:p w14:paraId="38146488">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没有按合同约定的电扶梯日常维保工作内容进行维护保养工作时，发现一次扣1分。</w:t>
            </w:r>
          </w:p>
        </w:tc>
        <w:tc>
          <w:tcPr>
            <w:tcW w:w="615" w:type="dxa"/>
            <w:tcBorders>
              <w:top w:val="single" w:color="auto" w:sz="6" w:space="0"/>
              <w:left w:val="single" w:color="auto" w:sz="4" w:space="0"/>
              <w:bottom w:val="single" w:color="auto" w:sz="6" w:space="0"/>
              <w:right w:val="single" w:color="auto" w:sz="4" w:space="0"/>
            </w:tcBorders>
            <w:noWrap w:val="0"/>
            <w:vAlign w:val="center"/>
          </w:tcPr>
          <w:p w14:paraId="4886BE30">
            <w:pPr>
              <w:jc w:val="center"/>
              <w:rPr>
                <w:rFonts w:hint="default" w:ascii="Times New Roman" w:hAnsi="Times New Roman" w:eastAsia="方正仿宋_GBK" w:cs="Times New Roman"/>
                <w:color w:val="auto"/>
                <w:szCs w:val="21"/>
              </w:rPr>
            </w:pPr>
          </w:p>
        </w:tc>
      </w:tr>
      <w:tr w14:paraId="1765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4" w:type="dxa"/>
            <w:tcBorders>
              <w:top w:val="single" w:color="auto" w:sz="6" w:space="0"/>
              <w:left w:val="single" w:color="auto" w:sz="4" w:space="0"/>
              <w:bottom w:val="single" w:color="auto" w:sz="6" w:space="0"/>
              <w:right w:val="single" w:color="auto" w:sz="4" w:space="0"/>
            </w:tcBorders>
            <w:noWrap w:val="0"/>
            <w:vAlign w:val="center"/>
          </w:tcPr>
          <w:p w14:paraId="074F6A6C">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4</w:t>
            </w:r>
          </w:p>
        </w:tc>
        <w:tc>
          <w:tcPr>
            <w:tcW w:w="1755" w:type="dxa"/>
            <w:tcBorders>
              <w:top w:val="single" w:color="auto" w:sz="6" w:space="0"/>
              <w:left w:val="single" w:color="auto" w:sz="4" w:space="0"/>
              <w:bottom w:val="single" w:color="auto" w:sz="6" w:space="0"/>
              <w:right w:val="single" w:color="auto" w:sz="4" w:space="0"/>
            </w:tcBorders>
            <w:noWrap w:val="0"/>
            <w:vAlign w:val="center"/>
          </w:tcPr>
          <w:p w14:paraId="446DF5CD">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井道</w:t>
            </w:r>
          </w:p>
        </w:tc>
        <w:tc>
          <w:tcPr>
            <w:tcW w:w="675" w:type="dxa"/>
            <w:tcBorders>
              <w:top w:val="single" w:color="auto" w:sz="6" w:space="0"/>
              <w:left w:val="single" w:color="auto" w:sz="4" w:space="0"/>
              <w:bottom w:val="single" w:color="auto" w:sz="6" w:space="0"/>
              <w:right w:val="single" w:color="auto" w:sz="4" w:space="0"/>
            </w:tcBorders>
            <w:noWrap w:val="0"/>
            <w:vAlign w:val="center"/>
          </w:tcPr>
          <w:p w14:paraId="126AF7A4">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20</w:t>
            </w:r>
          </w:p>
        </w:tc>
        <w:tc>
          <w:tcPr>
            <w:tcW w:w="5389" w:type="dxa"/>
            <w:tcBorders>
              <w:top w:val="single" w:color="auto" w:sz="6" w:space="0"/>
              <w:left w:val="single" w:color="auto" w:sz="4" w:space="0"/>
              <w:bottom w:val="single" w:color="auto" w:sz="6" w:space="0"/>
              <w:right w:val="single" w:color="auto" w:sz="4" w:space="0"/>
            </w:tcBorders>
            <w:noWrap w:val="0"/>
            <w:vAlign w:val="center"/>
          </w:tcPr>
          <w:p w14:paraId="536FF138">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没有按合同约定的电扶梯日常维保工作内容进行维护保养工作时，发现一次扣0.5分。</w:t>
            </w:r>
          </w:p>
        </w:tc>
        <w:tc>
          <w:tcPr>
            <w:tcW w:w="615" w:type="dxa"/>
            <w:tcBorders>
              <w:top w:val="single" w:color="auto" w:sz="6" w:space="0"/>
              <w:left w:val="single" w:color="auto" w:sz="4" w:space="0"/>
              <w:bottom w:val="single" w:color="auto" w:sz="6" w:space="0"/>
              <w:right w:val="single" w:color="auto" w:sz="4" w:space="0"/>
            </w:tcBorders>
            <w:noWrap w:val="0"/>
            <w:vAlign w:val="center"/>
          </w:tcPr>
          <w:p w14:paraId="7761154E">
            <w:pPr>
              <w:jc w:val="center"/>
              <w:rPr>
                <w:rFonts w:hint="default" w:ascii="Times New Roman" w:hAnsi="Times New Roman" w:eastAsia="方正仿宋_GBK" w:cs="Times New Roman"/>
                <w:color w:val="auto"/>
                <w:szCs w:val="21"/>
              </w:rPr>
            </w:pPr>
          </w:p>
        </w:tc>
      </w:tr>
      <w:tr w14:paraId="4AB1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dxa"/>
            <w:tcBorders>
              <w:top w:val="single" w:color="auto" w:sz="6" w:space="0"/>
              <w:left w:val="single" w:color="auto" w:sz="4" w:space="0"/>
              <w:bottom w:val="single" w:color="auto" w:sz="6" w:space="0"/>
              <w:right w:val="single" w:color="auto" w:sz="4" w:space="0"/>
            </w:tcBorders>
            <w:noWrap w:val="0"/>
            <w:vAlign w:val="center"/>
          </w:tcPr>
          <w:p w14:paraId="112C59CF">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w:t>
            </w:r>
          </w:p>
        </w:tc>
        <w:tc>
          <w:tcPr>
            <w:tcW w:w="1755" w:type="dxa"/>
            <w:tcBorders>
              <w:top w:val="single" w:color="auto" w:sz="6" w:space="0"/>
              <w:left w:val="single" w:color="auto" w:sz="4" w:space="0"/>
              <w:bottom w:val="single" w:color="auto" w:sz="6" w:space="0"/>
              <w:right w:val="single" w:color="auto" w:sz="4" w:space="0"/>
            </w:tcBorders>
            <w:noWrap w:val="0"/>
            <w:vAlign w:val="center"/>
          </w:tcPr>
          <w:p w14:paraId="01A593FA">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底坑</w:t>
            </w:r>
          </w:p>
        </w:tc>
        <w:tc>
          <w:tcPr>
            <w:tcW w:w="675" w:type="dxa"/>
            <w:tcBorders>
              <w:top w:val="single" w:color="auto" w:sz="6" w:space="0"/>
              <w:left w:val="single" w:color="auto" w:sz="4" w:space="0"/>
              <w:bottom w:val="single" w:color="auto" w:sz="6" w:space="0"/>
              <w:right w:val="single" w:color="auto" w:sz="4" w:space="0"/>
            </w:tcBorders>
            <w:noWrap w:val="0"/>
            <w:vAlign w:val="center"/>
          </w:tcPr>
          <w:p w14:paraId="7D5AAC37">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20</w:t>
            </w:r>
          </w:p>
        </w:tc>
        <w:tc>
          <w:tcPr>
            <w:tcW w:w="5389" w:type="dxa"/>
            <w:tcBorders>
              <w:top w:val="single" w:color="auto" w:sz="6" w:space="0"/>
              <w:left w:val="single" w:color="auto" w:sz="4" w:space="0"/>
              <w:bottom w:val="single" w:color="auto" w:sz="6" w:space="0"/>
              <w:right w:val="single" w:color="auto" w:sz="4" w:space="0"/>
            </w:tcBorders>
            <w:noWrap w:val="0"/>
            <w:vAlign w:val="center"/>
          </w:tcPr>
          <w:p w14:paraId="1939E1F9">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没有按合同约定的电扶梯日常维保工作内容进行维护保养工作时，发现一次扣0.5分。</w:t>
            </w:r>
          </w:p>
        </w:tc>
        <w:tc>
          <w:tcPr>
            <w:tcW w:w="615" w:type="dxa"/>
            <w:tcBorders>
              <w:top w:val="single" w:color="auto" w:sz="6" w:space="0"/>
              <w:left w:val="single" w:color="auto" w:sz="4" w:space="0"/>
              <w:bottom w:val="single" w:color="auto" w:sz="6" w:space="0"/>
              <w:right w:val="single" w:color="auto" w:sz="4" w:space="0"/>
            </w:tcBorders>
            <w:noWrap w:val="0"/>
            <w:vAlign w:val="center"/>
          </w:tcPr>
          <w:p w14:paraId="46D6DB72">
            <w:pPr>
              <w:jc w:val="center"/>
              <w:rPr>
                <w:rFonts w:hint="default" w:ascii="Times New Roman" w:hAnsi="Times New Roman" w:eastAsia="方正仿宋_GBK" w:cs="Times New Roman"/>
                <w:color w:val="auto"/>
                <w:szCs w:val="21"/>
              </w:rPr>
            </w:pPr>
          </w:p>
        </w:tc>
      </w:tr>
      <w:tr w14:paraId="517D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24" w:type="dxa"/>
            <w:tcBorders>
              <w:top w:val="single" w:color="auto" w:sz="6" w:space="0"/>
              <w:left w:val="single" w:color="auto" w:sz="4" w:space="0"/>
              <w:bottom w:val="single" w:color="auto" w:sz="6" w:space="0"/>
              <w:right w:val="single" w:color="auto" w:sz="4" w:space="0"/>
            </w:tcBorders>
            <w:noWrap w:val="0"/>
            <w:vAlign w:val="center"/>
          </w:tcPr>
          <w:p w14:paraId="2D3B3F95">
            <w:pPr>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val="en-US" w:eastAsia="zh-CN"/>
              </w:rPr>
              <w:t>6</w:t>
            </w:r>
          </w:p>
        </w:tc>
        <w:tc>
          <w:tcPr>
            <w:tcW w:w="1755" w:type="dxa"/>
            <w:tcBorders>
              <w:top w:val="single" w:color="auto" w:sz="6" w:space="0"/>
              <w:left w:val="single" w:color="auto" w:sz="4" w:space="0"/>
              <w:bottom w:val="single" w:color="auto" w:sz="6" w:space="0"/>
              <w:right w:val="single" w:color="auto" w:sz="4" w:space="0"/>
            </w:tcBorders>
            <w:noWrap w:val="0"/>
            <w:vAlign w:val="center"/>
          </w:tcPr>
          <w:p w14:paraId="74352325">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收尾工作</w:t>
            </w:r>
          </w:p>
        </w:tc>
        <w:tc>
          <w:tcPr>
            <w:tcW w:w="675" w:type="dxa"/>
            <w:tcBorders>
              <w:top w:val="single" w:color="auto" w:sz="6" w:space="0"/>
              <w:left w:val="single" w:color="auto" w:sz="4" w:space="0"/>
              <w:bottom w:val="single" w:color="auto" w:sz="6" w:space="0"/>
              <w:right w:val="single" w:color="auto" w:sz="4" w:space="0"/>
            </w:tcBorders>
            <w:noWrap w:val="0"/>
            <w:vAlign w:val="center"/>
          </w:tcPr>
          <w:p w14:paraId="49B3CA36">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10</w:t>
            </w:r>
          </w:p>
        </w:tc>
        <w:tc>
          <w:tcPr>
            <w:tcW w:w="5389" w:type="dxa"/>
            <w:tcBorders>
              <w:top w:val="single" w:color="auto" w:sz="6" w:space="0"/>
              <w:left w:val="single" w:color="auto" w:sz="4" w:space="0"/>
              <w:bottom w:val="single" w:color="auto" w:sz="6" w:space="0"/>
              <w:right w:val="single" w:color="auto" w:sz="4" w:space="0"/>
            </w:tcBorders>
            <w:noWrap w:val="0"/>
            <w:vAlign w:val="center"/>
          </w:tcPr>
          <w:p w14:paraId="26D48E24">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没有按合同约定的电扶梯日常维保工作内容进行维护保养工作时，发现一次扣0.5分。</w:t>
            </w:r>
          </w:p>
        </w:tc>
        <w:tc>
          <w:tcPr>
            <w:tcW w:w="615" w:type="dxa"/>
            <w:tcBorders>
              <w:top w:val="single" w:color="auto" w:sz="6" w:space="0"/>
              <w:left w:val="single" w:color="auto" w:sz="4" w:space="0"/>
              <w:bottom w:val="single" w:color="auto" w:sz="6" w:space="0"/>
              <w:right w:val="single" w:color="auto" w:sz="4" w:space="0"/>
            </w:tcBorders>
            <w:noWrap w:val="0"/>
            <w:vAlign w:val="center"/>
          </w:tcPr>
          <w:p w14:paraId="0E465457">
            <w:pPr>
              <w:jc w:val="center"/>
              <w:rPr>
                <w:rFonts w:hint="default" w:ascii="Times New Roman" w:hAnsi="Times New Roman" w:eastAsia="方正仿宋_GBK" w:cs="Times New Roman"/>
                <w:color w:val="auto"/>
                <w:szCs w:val="21"/>
              </w:rPr>
            </w:pPr>
          </w:p>
        </w:tc>
      </w:tr>
      <w:tr w14:paraId="7A95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479" w:type="dxa"/>
            <w:gridSpan w:val="2"/>
            <w:tcBorders>
              <w:top w:val="double" w:color="auto" w:sz="4" w:space="0"/>
              <w:left w:val="single" w:color="auto" w:sz="4" w:space="0"/>
              <w:bottom w:val="single" w:color="auto" w:sz="4" w:space="0"/>
              <w:right w:val="single" w:color="auto" w:sz="4" w:space="0"/>
            </w:tcBorders>
            <w:noWrap w:val="0"/>
            <w:vAlign w:val="center"/>
          </w:tcPr>
          <w:p w14:paraId="3C78FE2D">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合计</w:t>
            </w:r>
          </w:p>
        </w:tc>
        <w:tc>
          <w:tcPr>
            <w:tcW w:w="675" w:type="dxa"/>
            <w:tcBorders>
              <w:top w:val="double" w:color="auto" w:sz="4" w:space="0"/>
              <w:left w:val="single" w:color="auto" w:sz="4" w:space="0"/>
              <w:bottom w:val="single" w:color="auto" w:sz="4" w:space="0"/>
              <w:right w:val="single" w:color="auto" w:sz="4" w:space="0"/>
            </w:tcBorders>
            <w:noWrap w:val="0"/>
            <w:vAlign w:val="center"/>
          </w:tcPr>
          <w:p w14:paraId="1EC91E4B">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5389" w:type="dxa"/>
            <w:tcBorders>
              <w:top w:val="double" w:color="auto" w:sz="4" w:space="0"/>
              <w:left w:val="single" w:color="auto" w:sz="4" w:space="0"/>
              <w:bottom w:val="single" w:color="auto" w:sz="4" w:space="0"/>
              <w:right w:val="single" w:color="auto" w:sz="4" w:space="0"/>
            </w:tcBorders>
            <w:noWrap w:val="0"/>
            <w:vAlign w:val="center"/>
          </w:tcPr>
          <w:p w14:paraId="31B1E5CE">
            <w:pPr>
              <w:ind w:firstLine="1260" w:firstLineChars="600"/>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得分=总分(100)–扣分</w:t>
            </w:r>
          </w:p>
        </w:tc>
        <w:tc>
          <w:tcPr>
            <w:tcW w:w="615" w:type="dxa"/>
            <w:tcBorders>
              <w:top w:val="double" w:color="auto" w:sz="4" w:space="0"/>
              <w:left w:val="single" w:color="auto" w:sz="4" w:space="0"/>
              <w:bottom w:val="single" w:color="auto" w:sz="4" w:space="0"/>
              <w:right w:val="single" w:color="auto" w:sz="4" w:space="0"/>
            </w:tcBorders>
            <w:noWrap w:val="0"/>
            <w:vAlign w:val="center"/>
          </w:tcPr>
          <w:p w14:paraId="00F530DD">
            <w:pPr>
              <w:jc w:val="center"/>
              <w:rPr>
                <w:rFonts w:hint="default" w:ascii="Times New Roman" w:hAnsi="Times New Roman" w:eastAsia="方正仿宋_GBK" w:cs="Times New Roman"/>
                <w:color w:val="auto"/>
                <w:szCs w:val="21"/>
              </w:rPr>
            </w:pPr>
          </w:p>
        </w:tc>
      </w:tr>
      <w:tr w14:paraId="1A8D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158" w:type="dxa"/>
            <w:gridSpan w:val="5"/>
            <w:tcBorders>
              <w:top w:val="single" w:color="auto" w:sz="4" w:space="0"/>
              <w:left w:val="single" w:color="auto" w:sz="4" w:space="0"/>
              <w:bottom w:val="single" w:color="auto" w:sz="4" w:space="0"/>
              <w:right w:val="single" w:color="auto" w:sz="4" w:space="0"/>
            </w:tcBorders>
            <w:noWrap w:val="0"/>
            <w:vAlign w:val="center"/>
          </w:tcPr>
          <w:p w14:paraId="0E18FBAE">
            <w:pPr>
              <w:spacing w:line="360" w:lineRule="exact"/>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备注：此表为</w:t>
            </w:r>
            <w:r>
              <w:rPr>
                <w:rFonts w:hint="eastAsia" w:ascii="Times New Roman" w:hAnsi="Times New Roman" w:eastAsia="方正仿宋_GBK" w:cs="Times New Roman"/>
                <w:color w:val="auto"/>
                <w:sz w:val="24"/>
                <w:szCs w:val="24"/>
                <w:lang w:val="en-US" w:eastAsia="zh-CN"/>
              </w:rPr>
              <w:t>每</w:t>
            </w:r>
            <w:r>
              <w:rPr>
                <w:rFonts w:hint="default" w:ascii="Times New Roman" w:hAnsi="Times New Roman" w:eastAsia="方正仿宋_GBK" w:cs="Times New Roman"/>
                <w:color w:val="auto"/>
                <w:sz w:val="24"/>
                <w:szCs w:val="24"/>
                <w:lang w:val="en-US" w:eastAsia="zh-CN"/>
              </w:rPr>
              <w:t>季</w:t>
            </w:r>
            <w:r>
              <w:rPr>
                <w:rFonts w:hint="default" w:ascii="Times New Roman" w:hAnsi="Times New Roman" w:eastAsia="方正仿宋_GBK" w:cs="Times New Roman"/>
                <w:color w:val="auto"/>
                <w:sz w:val="24"/>
                <w:szCs w:val="24"/>
              </w:rPr>
              <w:t>度</w:t>
            </w:r>
            <w:r>
              <w:rPr>
                <w:rFonts w:hint="eastAsia" w:ascii="Times New Roman" w:hAnsi="Times New Roman" w:eastAsia="方正仿宋_GBK" w:cs="Times New Roman"/>
                <w:color w:val="auto"/>
                <w:sz w:val="24"/>
                <w:szCs w:val="24"/>
                <w:lang w:val="en-US" w:eastAsia="zh-CN"/>
              </w:rPr>
              <w:t>评价</w:t>
            </w:r>
            <w:r>
              <w:rPr>
                <w:rFonts w:hint="default" w:ascii="Times New Roman" w:hAnsi="Times New Roman" w:eastAsia="方正仿宋_GBK" w:cs="Times New Roman"/>
                <w:color w:val="auto"/>
                <w:sz w:val="24"/>
                <w:szCs w:val="24"/>
              </w:rPr>
              <w:t>标准。</w:t>
            </w:r>
          </w:p>
          <w:p w14:paraId="415EBDFB">
            <w:pPr>
              <w:spacing w:line="360" w:lineRule="exact"/>
              <w:ind w:firstLine="240" w:firstLineChars="100"/>
              <w:jc w:val="both"/>
              <w:rPr>
                <w:rFonts w:hint="default" w:ascii="Times New Roman" w:hAnsi="Times New Roman" w:eastAsia="方正仿宋_GBK" w:cs="Times New Roman"/>
                <w:color w:val="auto"/>
                <w:sz w:val="24"/>
                <w:szCs w:val="24"/>
                <w:u w:val="single"/>
              </w:rPr>
            </w:pPr>
            <w:r>
              <w:rPr>
                <w:rFonts w:hint="default" w:ascii="Times New Roman" w:hAnsi="Times New Roman" w:eastAsia="方正仿宋_GBK" w:cs="Times New Roman"/>
                <w:color w:val="auto"/>
                <w:sz w:val="24"/>
                <w:szCs w:val="24"/>
              </w:rPr>
              <w:t>9</w:t>
            </w: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分（含）以上不予以扣款，</w:t>
            </w:r>
            <w:r>
              <w:rPr>
                <w:rFonts w:hint="default" w:ascii="Times New Roman" w:hAnsi="Times New Roman" w:eastAsia="方正仿宋_GBK" w:cs="Times New Roman"/>
                <w:color w:val="auto"/>
                <w:sz w:val="24"/>
                <w:szCs w:val="24"/>
                <w:lang w:val="en-US" w:eastAsia="zh-CN"/>
              </w:rPr>
              <w:t>90</w:t>
            </w:r>
            <w:r>
              <w:rPr>
                <w:rFonts w:hint="default" w:ascii="Times New Roman" w:hAnsi="Times New Roman" w:eastAsia="方正仿宋_GBK" w:cs="Times New Roman"/>
                <w:color w:val="auto"/>
                <w:sz w:val="24"/>
                <w:szCs w:val="24"/>
              </w:rPr>
              <w:t>（含）-9</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分扣款200元，8</w:t>
            </w: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（含）-</w:t>
            </w:r>
            <w:r>
              <w:rPr>
                <w:rFonts w:hint="default" w:ascii="Times New Roman" w:hAnsi="Times New Roman" w:eastAsia="方正仿宋_GBK" w:cs="Times New Roman"/>
                <w:color w:val="auto"/>
                <w:sz w:val="24"/>
                <w:szCs w:val="24"/>
                <w:lang w:val="en-US" w:eastAsia="zh-CN"/>
              </w:rPr>
              <w:t>89</w:t>
            </w:r>
            <w:r>
              <w:rPr>
                <w:rFonts w:hint="default" w:ascii="Times New Roman" w:hAnsi="Times New Roman" w:eastAsia="方正仿宋_GBK" w:cs="Times New Roman"/>
                <w:color w:val="auto"/>
                <w:sz w:val="24"/>
                <w:szCs w:val="24"/>
              </w:rPr>
              <w:t>分扣款500元，</w:t>
            </w:r>
            <w:r>
              <w:rPr>
                <w:rFonts w:hint="default" w:ascii="Times New Roman" w:hAnsi="Times New Roman" w:eastAsia="方正仿宋_GBK" w:cs="Times New Roman"/>
                <w:color w:val="auto"/>
                <w:sz w:val="24"/>
                <w:szCs w:val="24"/>
                <w:lang w:val="en-US" w:eastAsia="zh-CN"/>
              </w:rPr>
              <w:t>80</w:t>
            </w:r>
            <w:r>
              <w:rPr>
                <w:rFonts w:hint="default" w:ascii="Times New Roman" w:hAnsi="Times New Roman" w:eastAsia="方正仿宋_GBK" w:cs="Times New Roman"/>
                <w:color w:val="auto"/>
                <w:sz w:val="24"/>
                <w:szCs w:val="24"/>
              </w:rPr>
              <w:t>（含）-8</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分扣款1000元，70分-</w:t>
            </w:r>
            <w:r>
              <w:rPr>
                <w:rFonts w:hint="default" w:ascii="Times New Roman" w:hAnsi="Times New Roman" w:eastAsia="方正仿宋_GBK" w:cs="Times New Roman"/>
                <w:color w:val="auto"/>
                <w:sz w:val="24"/>
                <w:szCs w:val="24"/>
                <w:lang w:val="en-US" w:eastAsia="zh-CN"/>
              </w:rPr>
              <w:t>79</w:t>
            </w:r>
            <w:r>
              <w:rPr>
                <w:rFonts w:hint="default" w:ascii="Times New Roman" w:hAnsi="Times New Roman" w:eastAsia="方正仿宋_GBK" w:cs="Times New Roman"/>
                <w:color w:val="auto"/>
                <w:sz w:val="24"/>
                <w:szCs w:val="24"/>
              </w:rPr>
              <w:t>分扣除当</w:t>
            </w:r>
            <w:r>
              <w:rPr>
                <w:rFonts w:hint="default" w:ascii="Times New Roman" w:hAnsi="Times New Roman" w:eastAsia="方正仿宋_GBK" w:cs="Times New Roman"/>
                <w:color w:val="auto"/>
                <w:sz w:val="24"/>
                <w:szCs w:val="24"/>
                <w:lang w:val="en-US" w:eastAsia="zh-CN"/>
              </w:rPr>
              <w:t>季电梯维护保养服务</w:t>
            </w:r>
            <w:r>
              <w:rPr>
                <w:rFonts w:hint="default" w:ascii="Times New Roman" w:hAnsi="Times New Roman" w:eastAsia="方正仿宋_GBK" w:cs="Times New Roman"/>
                <w:color w:val="auto"/>
                <w:sz w:val="24"/>
                <w:szCs w:val="24"/>
              </w:rPr>
              <w:t>费用的10％,</w:t>
            </w:r>
            <w:r>
              <w:rPr>
                <w:rFonts w:hint="default" w:ascii="Times New Roman" w:hAnsi="Times New Roman" w:eastAsia="方正仿宋_GBK" w:cs="Times New Roman"/>
                <w:color w:val="auto"/>
                <w:sz w:val="24"/>
                <w:szCs w:val="24"/>
                <w:lang w:val="en-US" w:eastAsia="zh-CN"/>
              </w:rPr>
              <w:t>69</w:t>
            </w:r>
            <w:r>
              <w:rPr>
                <w:rFonts w:hint="default" w:ascii="Times New Roman" w:hAnsi="Times New Roman" w:eastAsia="方正仿宋_GBK" w:cs="Times New Roman"/>
                <w:color w:val="auto"/>
                <w:sz w:val="24"/>
                <w:szCs w:val="24"/>
              </w:rPr>
              <w:t>分（含）以下扣除当</w:t>
            </w:r>
            <w:r>
              <w:rPr>
                <w:rFonts w:hint="default" w:ascii="Times New Roman" w:hAnsi="Times New Roman" w:eastAsia="方正仿宋_GBK" w:cs="Times New Roman"/>
                <w:color w:val="auto"/>
                <w:sz w:val="24"/>
                <w:szCs w:val="24"/>
                <w:lang w:val="en-US" w:eastAsia="zh-CN"/>
              </w:rPr>
              <w:t>季电梯维护保养服务</w:t>
            </w:r>
            <w:r>
              <w:rPr>
                <w:rFonts w:hint="default" w:ascii="Times New Roman" w:hAnsi="Times New Roman" w:eastAsia="方正仿宋_GBK" w:cs="Times New Roman"/>
                <w:color w:val="auto"/>
                <w:sz w:val="24"/>
                <w:szCs w:val="24"/>
              </w:rPr>
              <w:t>费用的20%，</w:t>
            </w:r>
            <w:r>
              <w:rPr>
                <w:rFonts w:hint="eastAsia" w:ascii="Times New Roman" w:hAnsi="Times New Roman" w:eastAsia="方正仿宋_GBK" w:cs="Times New Roman"/>
                <w:color w:val="auto"/>
                <w:sz w:val="24"/>
                <w:szCs w:val="24"/>
                <w:lang w:val="en-US" w:eastAsia="zh-CN"/>
              </w:rPr>
              <w:t>且</w:t>
            </w:r>
            <w:r>
              <w:rPr>
                <w:rFonts w:hint="default" w:ascii="Times New Roman" w:hAnsi="Times New Roman" w:eastAsia="方正仿宋_GBK" w:cs="Times New Roman"/>
                <w:color w:val="auto"/>
                <w:sz w:val="24"/>
                <w:szCs w:val="24"/>
                <w:lang w:val="en-US" w:eastAsia="zh-CN"/>
              </w:rPr>
              <w:t>甲方</w:t>
            </w:r>
            <w:r>
              <w:rPr>
                <w:rFonts w:hint="default" w:ascii="Times New Roman" w:hAnsi="Times New Roman" w:eastAsia="方正仿宋_GBK" w:cs="Times New Roman"/>
                <w:color w:val="auto"/>
                <w:sz w:val="24"/>
                <w:szCs w:val="24"/>
              </w:rPr>
              <w:t>有权解除服务</w:t>
            </w:r>
            <w:r>
              <w:rPr>
                <w:rFonts w:hint="default" w:ascii="Times New Roman" w:hAnsi="Times New Roman" w:eastAsia="方正仿宋_GBK" w:cs="Times New Roman"/>
                <w:color w:val="auto"/>
                <w:sz w:val="24"/>
                <w:szCs w:val="24"/>
                <w:lang w:val="en-US" w:eastAsia="zh-CN"/>
              </w:rPr>
              <w:t>外包合同</w:t>
            </w:r>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val="en-US" w:eastAsia="zh-CN"/>
              </w:rPr>
              <w:t>季</w:t>
            </w:r>
            <w:r>
              <w:rPr>
                <w:rFonts w:hint="default" w:ascii="Times New Roman" w:hAnsi="Times New Roman" w:eastAsia="方正仿宋_GBK" w:cs="Times New Roman"/>
                <w:color w:val="auto"/>
                <w:sz w:val="24"/>
                <w:szCs w:val="24"/>
              </w:rPr>
              <w:t>度</w:t>
            </w:r>
            <w:r>
              <w:rPr>
                <w:rFonts w:hint="eastAsia" w:ascii="Times New Roman" w:hAnsi="Times New Roman" w:eastAsia="方正仿宋_GBK" w:cs="Times New Roman"/>
                <w:color w:val="auto"/>
                <w:sz w:val="24"/>
                <w:szCs w:val="24"/>
                <w:lang w:val="en-US" w:eastAsia="zh-CN"/>
              </w:rPr>
              <w:t>评价</w:t>
            </w:r>
            <w:r>
              <w:rPr>
                <w:rFonts w:hint="default" w:ascii="Times New Roman" w:hAnsi="Times New Roman" w:eastAsia="方正仿宋_GBK" w:cs="Times New Roman"/>
                <w:color w:val="auto"/>
                <w:sz w:val="24"/>
                <w:szCs w:val="24"/>
              </w:rPr>
              <w:t>满分为100分，</w:t>
            </w:r>
            <w:r>
              <w:rPr>
                <w:rFonts w:hint="default" w:ascii="Times New Roman" w:hAnsi="Times New Roman" w:eastAsia="方正仿宋_GBK" w:cs="Times New Roman"/>
                <w:color w:val="auto"/>
                <w:sz w:val="24"/>
                <w:szCs w:val="24"/>
                <w:u w:val="single"/>
              </w:rPr>
              <w:t xml:space="preserve">    </w:t>
            </w:r>
            <w:r>
              <w:rPr>
                <w:rFonts w:hint="default" w:ascii="Times New Roman" w:hAnsi="Times New Roman" w:eastAsia="方正仿宋_GBK" w:cs="Times New Roman"/>
                <w:color w:val="auto"/>
                <w:sz w:val="24"/>
                <w:szCs w:val="24"/>
                <w:lang w:val="en-US" w:eastAsia="zh-CN"/>
              </w:rPr>
              <w:t>季度</w:t>
            </w:r>
            <w:r>
              <w:rPr>
                <w:rFonts w:hint="eastAsia" w:ascii="Times New Roman" w:hAnsi="Times New Roman" w:eastAsia="方正仿宋_GBK" w:cs="Times New Roman"/>
                <w:color w:val="auto"/>
                <w:sz w:val="24"/>
                <w:szCs w:val="24"/>
                <w:lang w:val="en-US" w:eastAsia="zh-CN"/>
              </w:rPr>
              <w:t>评价</w:t>
            </w:r>
            <w:r>
              <w:rPr>
                <w:rFonts w:hint="default" w:ascii="Times New Roman" w:hAnsi="Times New Roman" w:eastAsia="方正仿宋_GBK" w:cs="Times New Roman"/>
                <w:color w:val="auto"/>
                <w:sz w:val="24"/>
                <w:szCs w:val="24"/>
              </w:rPr>
              <w:t>得分</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u w:val="single"/>
              </w:rPr>
              <w:t xml:space="preserve">     </w:t>
            </w:r>
          </w:p>
          <w:p w14:paraId="4F50BF27">
            <w:pPr>
              <w:spacing w:line="360" w:lineRule="exact"/>
              <w:jc w:val="both"/>
              <w:rPr>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color w:val="auto"/>
                <w:sz w:val="24"/>
                <w:szCs w:val="24"/>
              </w:rPr>
              <w:t>甲方</w:t>
            </w:r>
            <w:r>
              <w:rPr>
                <w:rFonts w:hint="default" w:ascii="Times New Roman" w:hAnsi="Times New Roman" w:eastAsia="方正仿宋_GBK" w:cs="Times New Roman"/>
                <w:color w:val="auto"/>
                <w:sz w:val="24"/>
                <w:szCs w:val="24"/>
                <w:lang w:val="en-US" w:eastAsia="zh-CN"/>
              </w:rPr>
              <w:t>现场负责人</w:t>
            </w:r>
            <w:r>
              <w:rPr>
                <w:rFonts w:hint="default" w:ascii="Times New Roman" w:hAnsi="Times New Roman" w:eastAsia="方正仿宋_GBK" w:cs="Times New Roman"/>
                <w:color w:val="auto"/>
                <w:sz w:val="24"/>
                <w:szCs w:val="24"/>
              </w:rPr>
              <w:t>签字</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rPr>
              <w:t>乙方</w:t>
            </w:r>
            <w:r>
              <w:rPr>
                <w:rFonts w:hint="default" w:ascii="Times New Roman" w:hAnsi="Times New Roman" w:eastAsia="方正仿宋_GBK" w:cs="Times New Roman"/>
                <w:color w:val="auto"/>
                <w:sz w:val="24"/>
                <w:szCs w:val="24"/>
                <w:lang w:val="en-US" w:eastAsia="zh-CN"/>
              </w:rPr>
              <w:t>现场负责人</w:t>
            </w:r>
            <w:r>
              <w:rPr>
                <w:rFonts w:hint="default" w:ascii="Times New Roman" w:hAnsi="Times New Roman" w:eastAsia="方正仿宋_GBK" w:cs="Times New Roman"/>
                <w:color w:val="auto"/>
                <w:sz w:val="24"/>
                <w:szCs w:val="24"/>
              </w:rPr>
              <w:t>签字：</w:t>
            </w:r>
            <w:r>
              <w:rPr>
                <w:rFonts w:hint="default" w:ascii="Times New Roman" w:hAnsi="Times New Roman" w:eastAsia="方正仿宋_GBK" w:cs="Times New Roman"/>
                <w:color w:val="auto"/>
                <w:sz w:val="24"/>
                <w:szCs w:val="24"/>
                <w:u w:val="single"/>
              </w:rPr>
              <w:t xml:space="preserve">   </w:t>
            </w:r>
          </w:p>
          <w:p w14:paraId="23625E1A">
            <w:pPr>
              <w:jc w:val="both"/>
              <w:rPr>
                <w:rFonts w:hint="eastAsia" w:ascii="宋体" w:hAnsi="宋体"/>
                <w:color w:val="auto"/>
                <w:szCs w:val="21"/>
              </w:rPr>
            </w:pPr>
          </w:p>
        </w:tc>
      </w:tr>
    </w:tbl>
    <w:p w14:paraId="6070513C">
      <w:pPr>
        <w:spacing w:line="360" w:lineRule="exact"/>
        <w:rPr>
          <w:rFonts w:hint="default" w:ascii="Times New Roman" w:hAnsi="Times New Roman" w:eastAsia="方正仿宋_GBK" w:cs="Times New Roman"/>
          <w:color w:val="auto"/>
          <w:sz w:val="24"/>
          <w:szCs w:val="24"/>
        </w:rPr>
      </w:pPr>
    </w:p>
    <w:p w14:paraId="740F245B">
      <w:pPr>
        <w:pStyle w:val="3"/>
        <w:spacing w:line="360" w:lineRule="exact"/>
        <w:ind w:firstLine="600" w:firstLineChars="200"/>
        <w:rPr>
          <w:rFonts w:hint="eastAsia" w:ascii="方正黑体_GBK" w:hAnsi="方正黑体_GBK" w:eastAsia="方正黑体_GBK" w:cs="方正黑体_GBK"/>
          <w:b w:val="0"/>
          <w:color w:val="auto"/>
          <w:sz w:val="30"/>
          <w:szCs w:val="30"/>
        </w:rPr>
      </w:pPr>
      <w:r>
        <w:rPr>
          <w:rFonts w:hint="eastAsia" w:ascii="方正黑体_GBK" w:hAnsi="方正黑体_GBK" w:eastAsia="方正黑体_GBK" w:cs="方正黑体_GBK"/>
          <w:b w:val="0"/>
          <w:color w:val="auto"/>
          <w:sz w:val="30"/>
          <w:szCs w:val="30"/>
        </w:rPr>
        <w:t>该</w:t>
      </w:r>
      <w:r>
        <w:rPr>
          <w:rFonts w:hint="eastAsia" w:ascii="方正黑体_GBK" w:hAnsi="方正黑体_GBK" w:eastAsia="方正黑体_GBK" w:cs="方正黑体_GBK"/>
          <w:b w:val="0"/>
          <w:color w:val="auto"/>
          <w:sz w:val="30"/>
          <w:szCs w:val="30"/>
          <w:lang w:val="en-US" w:eastAsia="zh-CN"/>
        </w:rPr>
        <w:t>公开比选</w:t>
      </w:r>
      <w:r>
        <w:rPr>
          <w:rFonts w:hint="eastAsia" w:ascii="方正黑体_GBK" w:hAnsi="方正黑体_GBK" w:eastAsia="方正黑体_GBK" w:cs="方正黑体_GBK"/>
          <w:b w:val="0"/>
          <w:color w:val="auto"/>
          <w:sz w:val="30"/>
          <w:szCs w:val="30"/>
        </w:rPr>
        <w:t>文件中内容不详尽或概念不清部分，归招标人统一解释。</w:t>
      </w:r>
    </w:p>
    <w:p w14:paraId="625E7E00">
      <w:pPr>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5A860A3C">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p w14:paraId="2A6ECF84">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p w14:paraId="34F9B24F">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p w14:paraId="575C757E">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p w14:paraId="3850BBA7">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p w14:paraId="4488FAB3">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bookmarkEnd w:id="27"/>
    <w:bookmarkEnd w:id="28"/>
    <w:bookmarkEnd w:id="29"/>
    <w:p w14:paraId="5BF4B22A">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14:paraId="6BB99310">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14:paraId="5BB1B889">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14:paraId="6BF7E851">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14:paraId="68251A17">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14:paraId="09E9E0CF">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14:paraId="4A8D6BDC">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14:paraId="69A2854A">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14:paraId="0FA42348">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14:paraId="7E2D91AB">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方正仿宋_GBK" w:hAnsi="方正仿宋_GBK" w:eastAsia="方正仿宋_GBK" w:cs="方正仿宋_GBK"/>
          <w:b/>
          <w:color w:val="auto"/>
          <w:sz w:val="24"/>
          <w:szCs w:val="24"/>
          <w:highlight w:val="none"/>
          <w:lang w:eastAsia="zh-CN"/>
        </w:rPr>
      </w:pPr>
      <w:bookmarkStart w:id="33" w:name="_GoBack"/>
      <w:bookmarkEnd w:id="33"/>
      <w:r>
        <w:rPr>
          <w:rFonts w:hint="eastAsia" w:ascii="Times New Roman" w:hAnsi="Times New Roman" w:eastAsia="方正黑体_GBK" w:cs="Times New Roman"/>
          <w:b/>
          <w:color w:val="auto"/>
          <w:kern w:val="2"/>
          <w:sz w:val="36"/>
          <w:szCs w:val="36"/>
          <w:highlight w:val="none"/>
          <w:lang w:val="en-US" w:eastAsia="zh-CN" w:bidi="ar-SA"/>
        </w:rPr>
        <w:t>第五部分 合同主要内容（条款）</w:t>
      </w:r>
    </w:p>
    <w:p w14:paraId="78F3C0F9">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巨星花园A区1-7单元电梯维护保养服务外包合同</w:t>
      </w:r>
    </w:p>
    <w:p w14:paraId="34BB63D5">
      <w:pPr>
        <w:widowControl/>
        <w:ind w:firstLine="480" w:firstLineChars="200"/>
        <w:rPr>
          <w:rFonts w:hint="eastAsia" w:ascii="方正仿宋_GBK" w:hAnsi="方正仿宋_GBK" w:eastAsia="方正仿宋_GBK" w:cs="方正仿宋_GBK"/>
          <w:color w:val="auto"/>
          <w:sz w:val="24"/>
          <w:szCs w:val="24"/>
        </w:rPr>
      </w:pPr>
    </w:p>
    <w:p w14:paraId="0CE4949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方正仿宋_GBK" w:hAnsi="方正仿宋_GBK" w:eastAsia="方正仿宋_GBK" w:cs="方正仿宋_GBK"/>
          <w:color w:val="auto"/>
          <w:sz w:val="24"/>
          <w:szCs w:val="24"/>
          <w:u w:val="single"/>
          <w:lang w:val="en-US" w:eastAsia="zh-CN"/>
        </w:rPr>
      </w:pPr>
      <w:r>
        <w:rPr>
          <w:rFonts w:hint="eastAsia" w:ascii="方正仿宋_GBK" w:hAnsi="方正仿宋_GBK" w:eastAsia="方正仿宋_GBK" w:cs="方正仿宋_GBK"/>
          <w:color w:val="auto"/>
          <w:sz w:val="24"/>
          <w:szCs w:val="24"/>
          <w:lang w:val="en-US" w:eastAsia="zh-CN"/>
        </w:rPr>
        <w:t>发包</w:t>
      </w:r>
      <w:r>
        <w:rPr>
          <w:rFonts w:hint="eastAsia" w:ascii="方正仿宋_GBK" w:hAnsi="方正仿宋_GBK" w:eastAsia="方正仿宋_GBK" w:cs="方正仿宋_GBK"/>
          <w:color w:val="auto"/>
          <w:sz w:val="24"/>
          <w:szCs w:val="24"/>
        </w:rPr>
        <w:t>方：</w:t>
      </w:r>
      <w:r>
        <w:rPr>
          <w:rFonts w:hint="eastAsia" w:ascii="方正仿宋_GBK" w:hAnsi="方正仿宋_GBK" w:eastAsia="方正仿宋_GBK" w:cs="方正仿宋_GBK"/>
          <w:color w:val="auto"/>
          <w:sz w:val="24"/>
          <w:szCs w:val="24"/>
          <w:u w:val="single"/>
          <w:lang w:val="en-US" w:eastAsia="zh-CN"/>
        </w:rPr>
        <w:t xml:space="preserve"> 重庆市种畜场 </w:t>
      </w:r>
      <w:r>
        <w:rPr>
          <w:rFonts w:hint="eastAsia" w:ascii="方正仿宋_GBK" w:hAnsi="方正仿宋_GBK" w:eastAsia="方正仿宋_GBK" w:cs="方正仿宋_GBK"/>
          <w:color w:val="auto"/>
          <w:sz w:val="24"/>
          <w:szCs w:val="24"/>
          <w:u w:val="none"/>
          <w:lang w:val="en-US" w:eastAsia="zh-CN"/>
        </w:rPr>
        <w:t>（以下简称甲方）</w:t>
      </w:r>
    </w:p>
    <w:p w14:paraId="3C27A47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lang w:val="en-US" w:eastAsia="zh-CN"/>
        </w:rPr>
        <w:t>承包</w:t>
      </w:r>
      <w:r>
        <w:rPr>
          <w:rFonts w:hint="eastAsia" w:ascii="方正仿宋_GBK" w:hAnsi="方正仿宋_GBK" w:eastAsia="方正仿宋_GBK" w:cs="方正仿宋_GBK"/>
          <w:color w:val="auto"/>
          <w:sz w:val="24"/>
          <w:szCs w:val="24"/>
        </w:rPr>
        <w:t>方：</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u w:val="none"/>
          <w:lang w:val="en-US" w:eastAsia="zh-CN"/>
        </w:rPr>
        <w:t xml:space="preserve">（以下简称乙方）   </w:t>
      </w:r>
    </w:p>
    <w:p w14:paraId="6B58B19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方正仿宋_GBK" w:hAnsi="方正仿宋_GBK" w:eastAsia="方正仿宋_GBK" w:cs="方正仿宋_GBK"/>
          <w:color w:val="auto"/>
          <w:sz w:val="24"/>
          <w:szCs w:val="24"/>
        </w:rPr>
        <w:t>根据《中华人民</w:t>
      </w:r>
      <w:r>
        <w:rPr>
          <w:rFonts w:hint="default" w:ascii="Times New Roman" w:hAnsi="Times New Roman" w:eastAsia="方正仿宋_GBK" w:cs="Times New Roman"/>
          <w:color w:val="auto"/>
          <w:sz w:val="24"/>
          <w:szCs w:val="24"/>
        </w:rPr>
        <w:t>共和国</w:t>
      </w:r>
      <w:r>
        <w:rPr>
          <w:rFonts w:hint="default" w:ascii="Times New Roman" w:hAnsi="Times New Roman" w:eastAsia="方正仿宋_GBK" w:cs="Times New Roman"/>
          <w:color w:val="auto"/>
          <w:sz w:val="24"/>
          <w:szCs w:val="24"/>
          <w:lang w:val="en-US" w:eastAsia="zh-CN"/>
        </w:rPr>
        <w:t>民法典</w:t>
      </w:r>
      <w:r>
        <w:rPr>
          <w:rFonts w:hint="default" w:ascii="Times New Roman" w:hAnsi="Times New Roman" w:eastAsia="方正仿宋_GBK" w:cs="Times New Roman"/>
          <w:color w:val="auto"/>
          <w:sz w:val="24"/>
          <w:szCs w:val="24"/>
        </w:rPr>
        <w:t>》以及相关法律法规的规定，</w:t>
      </w:r>
      <w:r>
        <w:rPr>
          <w:rFonts w:hint="eastAsia" w:ascii="Times New Roman" w:hAnsi="Times New Roman" w:eastAsia="方正仿宋_GBK" w:cs="Times New Roman"/>
          <w:color w:val="auto"/>
          <w:sz w:val="24"/>
          <w:szCs w:val="24"/>
          <w:lang w:val="en-US" w:eastAsia="zh-CN"/>
        </w:rPr>
        <w:t>遵循平等、自愿、公平和诚实守信的原则</w:t>
      </w:r>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val="en-US" w:eastAsia="zh-CN"/>
        </w:rPr>
        <w:t>就巨星花园A区1-7单元电梯维护保养服务外包事宜，</w:t>
      </w:r>
      <w:r>
        <w:rPr>
          <w:rFonts w:hint="eastAsia" w:ascii="Times New Roman" w:hAnsi="Times New Roman" w:eastAsia="方正仿宋_GBK" w:cs="Times New Roman"/>
          <w:color w:val="auto"/>
          <w:sz w:val="24"/>
          <w:szCs w:val="24"/>
          <w:lang w:val="en-US" w:eastAsia="zh-CN"/>
        </w:rPr>
        <w:t>为明确双方的责任、权利和衣物，经甲、乙双方协商一致，订立本合同</w:t>
      </w:r>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val="en-US" w:eastAsia="zh-CN"/>
        </w:rPr>
        <w:t>共同遵照执行。</w:t>
      </w:r>
    </w:p>
    <w:p w14:paraId="777A5FA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黑体_GBK" w:hAnsi="方正黑体_GBK" w:eastAsia="方正黑体_GBK" w:cs="方正黑体_GBK"/>
          <w:color w:val="auto"/>
          <w:kern w:val="2"/>
          <w:sz w:val="24"/>
          <w:szCs w:val="24"/>
          <w:lang w:val="en-US" w:eastAsia="zh-CN" w:bidi="ar-SA"/>
        </w:rPr>
      </w:pPr>
      <w:r>
        <w:rPr>
          <w:rFonts w:hint="eastAsia" w:ascii="方正黑体_GBK" w:hAnsi="方正黑体_GBK" w:eastAsia="方正黑体_GBK" w:cs="方正黑体_GBK"/>
          <w:color w:val="auto"/>
          <w:kern w:val="2"/>
          <w:sz w:val="24"/>
          <w:szCs w:val="24"/>
          <w:lang w:val="en-US" w:eastAsia="zh-CN" w:bidi="ar-SA"/>
        </w:rPr>
        <w:t>一、维护保养服务区域及内容</w:t>
      </w:r>
    </w:p>
    <w:p w14:paraId="1BDCD09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1.电梯</w:t>
      </w:r>
      <w:r>
        <w:rPr>
          <w:rFonts w:hint="eastAsia" w:ascii="Times New Roman" w:hAnsi="Times New Roman" w:eastAsia="方正仿宋_GBK" w:cs="Times New Roman"/>
          <w:color w:val="auto"/>
          <w:sz w:val="24"/>
          <w:szCs w:val="24"/>
          <w:lang w:val="en-US" w:eastAsia="zh-CN"/>
        </w:rPr>
        <w:t>维</w:t>
      </w:r>
      <w:r>
        <w:rPr>
          <w:rFonts w:hint="default" w:ascii="Times New Roman" w:hAnsi="Times New Roman" w:eastAsia="方正仿宋_GBK" w:cs="Times New Roman"/>
          <w:color w:val="auto"/>
          <w:sz w:val="24"/>
          <w:szCs w:val="24"/>
          <w:lang w:val="en-US" w:eastAsia="zh-CN"/>
        </w:rPr>
        <w:t>保服务区域。巨星花园A区1-7单元共计7</w:t>
      </w:r>
      <w:r>
        <w:rPr>
          <w:rFonts w:hint="eastAsia" w:ascii="Times New Roman" w:hAnsi="Times New Roman" w:eastAsia="方正仿宋_GBK" w:cs="Times New Roman"/>
          <w:color w:val="auto"/>
          <w:sz w:val="24"/>
          <w:szCs w:val="24"/>
          <w:lang w:val="en-US" w:eastAsia="zh-CN"/>
        </w:rPr>
        <w:t>台</w:t>
      </w:r>
      <w:r>
        <w:rPr>
          <w:rFonts w:hint="default" w:ascii="Times New Roman" w:hAnsi="Times New Roman" w:eastAsia="方正仿宋_GBK" w:cs="Times New Roman"/>
          <w:color w:val="auto"/>
          <w:sz w:val="24"/>
          <w:szCs w:val="24"/>
          <w:lang w:val="en-US" w:eastAsia="zh-CN"/>
        </w:rPr>
        <w:t>电梯日常</w:t>
      </w:r>
      <w:r>
        <w:rPr>
          <w:rFonts w:hint="eastAsia" w:ascii="Times New Roman" w:hAnsi="Times New Roman" w:eastAsia="方正仿宋_GBK" w:cs="Times New Roman"/>
          <w:color w:val="auto"/>
          <w:sz w:val="24"/>
          <w:szCs w:val="24"/>
          <w:lang w:val="en-US" w:eastAsia="zh-CN"/>
        </w:rPr>
        <w:t>维护</w:t>
      </w:r>
      <w:r>
        <w:rPr>
          <w:rFonts w:hint="default" w:ascii="Times New Roman" w:hAnsi="Times New Roman" w:eastAsia="方正仿宋_GBK" w:cs="Times New Roman"/>
          <w:color w:val="auto"/>
          <w:sz w:val="24"/>
          <w:szCs w:val="24"/>
          <w:lang w:val="en-US" w:eastAsia="zh-CN"/>
        </w:rPr>
        <w:t>保养。</w:t>
      </w:r>
    </w:p>
    <w:p w14:paraId="4F4B3C6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2.电梯</w:t>
      </w:r>
      <w:r>
        <w:rPr>
          <w:rFonts w:hint="eastAsia" w:ascii="Times New Roman" w:hAnsi="Times New Roman" w:eastAsia="方正仿宋_GBK" w:cs="Times New Roman"/>
          <w:color w:val="auto"/>
          <w:sz w:val="24"/>
          <w:szCs w:val="24"/>
          <w:lang w:val="en-US" w:eastAsia="zh-CN"/>
        </w:rPr>
        <w:t>维</w:t>
      </w:r>
      <w:r>
        <w:rPr>
          <w:rFonts w:hint="default" w:ascii="Times New Roman" w:hAnsi="Times New Roman" w:eastAsia="方正仿宋_GBK" w:cs="Times New Roman"/>
          <w:color w:val="auto"/>
          <w:sz w:val="24"/>
          <w:szCs w:val="24"/>
          <w:lang w:val="en-US" w:eastAsia="zh-CN"/>
        </w:rPr>
        <w:t>保服务内容</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严格按照《电梯维护保养规则》</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TSG T5002-2017</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及相关</w:t>
      </w:r>
      <w:r>
        <w:rPr>
          <w:rFonts w:hint="eastAsia" w:ascii="Times New Roman" w:hAnsi="Times New Roman" w:eastAsia="方正仿宋_GBK" w:cs="Times New Roman"/>
          <w:color w:val="auto"/>
          <w:sz w:val="24"/>
          <w:szCs w:val="24"/>
          <w:lang w:val="en-US" w:eastAsia="zh-CN"/>
        </w:rPr>
        <w:t>行业</w:t>
      </w:r>
      <w:r>
        <w:rPr>
          <w:rFonts w:hint="default" w:ascii="Times New Roman" w:hAnsi="Times New Roman" w:eastAsia="方正仿宋_GBK" w:cs="Times New Roman"/>
          <w:color w:val="auto"/>
          <w:sz w:val="24"/>
          <w:szCs w:val="24"/>
          <w:lang w:val="en-US" w:eastAsia="zh-CN"/>
        </w:rPr>
        <w:t>标准、规范和电梯制造厂家的技术要求，对巨星花园A区1-7单元</w:t>
      </w:r>
      <w:r>
        <w:rPr>
          <w:rFonts w:hint="eastAsia" w:ascii="Times New Roman" w:hAnsi="Times New Roman" w:eastAsia="方正仿宋_GBK" w:cs="Times New Roman"/>
          <w:color w:val="auto"/>
          <w:sz w:val="24"/>
          <w:szCs w:val="24"/>
          <w:lang w:val="en-US" w:eastAsia="zh-CN"/>
        </w:rPr>
        <w:t>7</w:t>
      </w:r>
      <w:r>
        <w:rPr>
          <w:rFonts w:hint="default" w:ascii="Times New Roman" w:hAnsi="Times New Roman" w:eastAsia="方正仿宋_GBK" w:cs="Times New Roman"/>
          <w:color w:val="auto"/>
          <w:sz w:val="24"/>
          <w:szCs w:val="24"/>
          <w:lang w:val="en-US" w:eastAsia="zh-CN"/>
        </w:rPr>
        <w:t>台电梯进行半月</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季度</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半年</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年度维保工作</w:t>
      </w:r>
      <w:r>
        <w:rPr>
          <w:rFonts w:hint="eastAsia" w:ascii="Times New Roman" w:hAnsi="Times New Roman" w:eastAsia="方正仿宋_GBK" w:cs="Times New Roman"/>
          <w:color w:val="auto"/>
          <w:sz w:val="24"/>
          <w:szCs w:val="24"/>
          <w:lang w:val="en-US" w:eastAsia="zh-CN"/>
        </w:rPr>
        <w:t>，包括</w:t>
      </w:r>
      <w:r>
        <w:rPr>
          <w:rFonts w:hint="default" w:ascii="Times New Roman" w:hAnsi="Times New Roman" w:eastAsia="方正仿宋_GBK" w:cs="Times New Roman"/>
          <w:color w:val="auto"/>
          <w:sz w:val="24"/>
          <w:szCs w:val="24"/>
          <w:lang w:val="en-US" w:eastAsia="zh-CN"/>
        </w:rPr>
        <w:t>但不限于</w:t>
      </w:r>
      <w:r>
        <w:rPr>
          <w:rFonts w:hint="eastAsia" w:ascii="Times New Roman" w:hAnsi="Times New Roman" w:eastAsia="方正仿宋_GBK" w:cs="Times New Roman"/>
          <w:color w:val="auto"/>
          <w:sz w:val="24"/>
          <w:szCs w:val="24"/>
          <w:lang w:val="en-US" w:eastAsia="zh-CN"/>
        </w:rPr>
        <w:t>对电梯的</w:t>
      </w:r>
      <w:r>
        <w:rPr>
          <w:rFonts w:hint="default" w:ascii="Times New Roman" w:hAnsi="Times New Roman" w:eastAsia="方正仿宋_GBK" w:cs="Times New Roman"/>
          <w:color w:val="auto"/>
          <w:sz w:val="24"/>
          <w:szCs w:val="24"/>
          <w:lang w:val="en-US" w:eastAsia="zh-CN"/>
        </w:rPr>
        <w:t>清洁</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润滑</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检查</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调整</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更换易损件等</w:t>
      </w:r>
      <w:r>
        <w:rPr>
          <w:rFonts w:hint="eastAsia" w:ascii="Times New Roman" w:hAnsi="Times New Roman" w:eastAsia="方正仿宋_GBK" w:cs="Times New Roman"/>
          <w:color w:val="auto"/>
          <w:sz w:val="24"/>
          <w:szCs w:val="24"/>
          <w:lang w:val="en-US" w:eastAsia="zh-CN"/>
        </w:rPr>
        <w:t>。</w:t>
      </w:r>
    </w:p>
    <w:p w14:paraId="2B43505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kern w:val="2"/>
          <w:sz w:val="24"/>
          <w:szCs w:val="24"/>
          <w:lang w:val="en-US" w:eastAsia="zh-CN" w:bidi="ar-SA"/>
        </w:rPr>
        <w:t>二、</w:t>
      </w:r>
      <w:r>
        <w:rPr>
          <w:rFonts w:hint="eastAsia" w:ascii="方正黑体_GBK" w:hAnsi="方正黑体_GBK" w:eastAsia="方正黑体_GBK" w:cs="方正黑体_GBK"/>
          <w:color w:val="auto"/>
          <w:sz w:val="24"/>
          <w:szCs w:val="24"/>
          <w:lang w:val="en-US" w:eastAsia="zh-CN"/>
        </w:rPr>
        <w:t>合作时间及方式</w:t>
      </w:r>
    </w:p>
    <w:p w14:paraId="6830224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color w:val="auto"/>
          <w:sz w:val="24"/>
          <w:szCs w:val="24"/>
          <w:lang w:val="en-US" w:eastAsia="zh-CN"/>
        </w:rPr>
      </w:pPr>
      <w:r>
        <w:rPr>
          <w:rFonts w:hint="eastAsia" w:ascii="方正楷体_GBK" w:hAnsi="方正楷体_GBK" w:eastAsia="方正楷体_GBK" w:cs="方正楷体_GBK"/>
          <w:b/>
          <w:bCs/>
          <w:color w:val="auto"/>
          <w:sz w:val="24"/>
          <w:szCs w:val="24"/>
          <w:lang w:val="en-US" w:eastAsia="zh-CN"/>
        </w:rPr>
        <w:t>（一）合作时间</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合作期限为</w:t>
      </w:r>
      <w:r>
        <w:rPr>
          <w:rFonts w:hint="eastAsia" w:ascii="Times New Roman" w:hAnsi="Times New Roman" w:eastAsia="方正仿宋_GBK" w:cs="Times New Roman"/>
          <w:color w:val="auto"/>
          <w:sz w:val="24"/>
          <w:szCs w:val="24"/>
          <w:lang w:val="en-US" w:eastAsia="zh-CN"/>
        </w:rPr>
        <w:t>叁</w:t>
      </w:r>
      <w:r>
        <w:rPr>
          <w:rFonts w:hint="default" w:ascii="Times New Roman" w:hAnsi="Times New Roman" w:eastAsia="方正仿宋_GBK" w:cs="Times New Roman"/>
          <w:color w:val="auto"/>
          <w:sz w:val="24"/>
          <w:szCs w:val="24"/>
          <w:lang w:val="en-US" w:eastAsia="zh-CN"/>
        </w:rPr>
        <w:t>年，从202</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23</w:t>
      </w:r>
      <w:r>
        <w:rPr>
          <w:rFonts w:hint="default" w:ascii="Times New Roman" w:hAnsi="Times New Roman" w:eastAsia="方正仿宋_GBK" w:cs="Times New Roman"/>
          <w:color w:val="auto"/>
          <w:sz w:val="24"/>
          <w:szCs w:val="24"/>
          <w:lang w:val="en-US" w:eastAsia="zh-CN"/>
        </w:rPr>
        <w:t>日起—202</w:t>
      </w:r>
      <w:r>
        <w:rPr>
          <w:rFonts w:hint="eastAsia" w:ascii="Times New Roman" w:hAnsi="Times New Roman" w:eastAsia="方正仿宋_GBK" w:cs="Times New Roman"/>
          <w:color w:val="auto"/>
          <w:sz w:val="24"/>
          <w:szCs w:val="24"/>
          <w:lang w:val="en-US" w:eastAsia="zh-CN"/>
        </w:rPr>
        <w:t>8</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22</w:t>
      </w:r>
      <w:r>
        <w:rPr>
          <w:rFonts w:hint="default" w:ascii="Times New Roman" w:hAnsi="Times New Roman" w:eastAsia="方正仿宋_GBK" w:cs="Times New Roman"/>
          <w:color w:val="auto"/>
          <w:sz w:val="24"/>
          <w:szCs w:val="24"/>
          <w:lang w:val="en-US" w:eastAsia="zh-CN"/>
        </w:rPr>
        <w:t>日止。</w:t>
      </w:r>
    </w:p>
    <w:p w14:paraId="6B5793C5">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方正楷体_GBK" w:hAnsi="方正楷体_GBK" w:eastAsia="方正楷体_GBK" w:cs="方正楷体_GBK"/>
          <w:b/>
          <w:bCs/>
          <w:color w:val="auto"/>
          <w:sz w:val="24"/>
          <w:szCs w:val="24"/>
          <w:lang w:val="en-US" w:eastAsia="zh-CN"/>
        </w:rPr>
        <w:t>（二）合作方式</w:t>
      </w:r>
      <w:r>
        <w:rPr>
          <w:rFonts w:hint="eastAsia" w:ascii="Times New Roman" w:hAnsi="Times New Roman" w:eastAsia="方正仿宋_GBK" w:cs="Times New Roman"/>
          <w:color w:val="auto"/>
          <w:sz w:val="24"/>
          <w:szCs w:val="24"/>
          <w:lang w:val="en-US" w:eastAsia="zh-CN"/>
        </w:rPr>
        <w:t>：按电梯维护保养半包</w:t>
      </w:r>
      <w:r>
        <w:rPr>
          <w:rFonts w:hint="default" w:ascii="Times New Roman" w:hAnsi="Times New Roman" w:eastAsia="方正仿宋_GBK" w:cs="Times New Roman"/>
          <w:color w:val="auto"/>
          <w:sz w:val="24"/>
          <w:szCs w:val="24"/>
          <w:lang w:val="en-US" w:eastAsia="zh-CN"/>
        </w:rPr>
        <w:t>的方式</w:t>
      </w:r>
      <w:r>
        <w:rPr>
          <w:rFonts w:hint="eastAsia" w:ascii="Times New Roman" w:hAnsi="Times New Roman" w:eastAsia="方正仿宋_GBK" w:cs="Times New Roman"/>
          <w:color w:val="auto"/>
          <w:sz w:val="24"/>
          <w:szCs w:val="24"/>
          <w:lang w:val="en-US" w:eastAsia="zh-CN"/>
        </w:rPr>
        <w:t>进行。即，乙方定期对甲方的7台电梯进行维护保养检测等工作，甲方按合同约定每季度支付乙方维护保养费用；在维保过程中，所涉7台电梯所需设施设备相关材料更换及维修费用在200元及以下的，由乙方免费提供及维修（不包括人为损坏因素、暴雨造成电梯积水损坏等不可抗力因素）</w:t>
      </w:r>
      <w:r>
        <w:rPr>
          <w:rFonts w:hint="default" w:ascii="Times New Roman" w:hAnsi="Times New Roman" w:eastAsia="方正仿宋_GBK" w:cs="Times New Roman"/>
          <w:color w:val="auto"/>
          <w:sz w:val="24"/>
          <w:szCs w:val="24"/>
          <w:lang w:val="en-US" w:eastAsia="zh-CN"/>
        </w:rPr>
        <w:t>。</w:t>
      </w:r>
    </w:p>
    <w:p w14:paraId="2DF3CC3A">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黑体_GBK" w:hAnsi="方正黑体_GBK" w:eastAsia="方正黑体_GBK" w:cs="方正黑体_GBK"/>
          <w:color w:val="auto"/>
          <w:sz w:val="24"/>
          <w:szCs w:val="24"/>
        </w:rPr>
        <w:t>三、</w:t>
      </w:r>
      <w:r>
        <w:rPr>
          <w:rFonts w:hint="eastAsia" w:ascii="方正黑体_GBK" w:hAnsi="方正黑体_GBK" w:eastAsia="方正黑体_GBK" w:cs="方正黑体_GBK"/>
          <w:color w:val="auto"/>
          <w:sz w:val="24"/>
          <w:szCs w:val="24"/>
          <w:lang w:val="en-US" w:eastAsia="zh-CN"/>
        </w:rPr>
        <w:t>服务费用及支付时间</w:t>
      </w:r>
    </w:p>
    <w:p w14:paraId="6AB84864">
      <w:pPr>
        <w:keepNext w:val="0"/>
        <w:keepLines w:val="0"/>
        <w:pageBreakBefore w:val="0"/>
        <w:widowControl/>
        <w:kinsoku/>
        <w:wordWrap/>
        <w:overflowPunct/>
        <w:topLinePunct w:val="0"/>
        <w:autoSpaceDE/>
        <w:autoSpaceDN/>
        <w:bidi w:val="0"/>
        <w:adjustRightInd/>
        <w:snapToGrid/>
        <w:spacing w:line="560" w:lineRule="exact"/>
        <w:ind w:left="479" w:leftChars="228" w:firstLine="0" w:firstLineChars="0"/>
        <w:textAlignment w:val="auto"/>
        <w:rPr>
          <w:rFonts w:hint="default" w:ascii="方正楷体_GBK" w:hAnsi="方正楷体_GBK" w:eastAsia="方正楷体_GBK" w:cs="方正楷体_GBK"/>
          <w:b/>
          <w:bCs/>
          <w:color w:val="auto"/>
          <w:sz w:val="24"/>
          <w:szCs w:val="24"/>
          <w:lang w:val="en-US" w:eastAsia="zh-CN"/>
        </w:rPr>
      </w:pPr>
      <w:r>
        <w:rPr>
          <w:rFonts w:hint="eastAsia" w:ascii="方正楷体_GBK" w:hAnsi="方正楷体_GBK" w:eastAsia="方正楷体_GBK" w:cs="方正楷体_GBK"/>
          <w:b/>
          <w:bCs/>
          <w:color w:val="auto"/>
          <w:sz w:val="24"/>
          <w:szCs w:val="24"/>
          <w:lang w:eastAsia="zh-CN"/>
        </w:rPr>
        <w:t>（</w:t>
      </w:r>
      <w:r>
        <w:rPr>
          <w:rFonts w:hint="eastAsia" w:ascii="方正楷体_GBK" w:hAnsi="方正楷体_GBK" w:eastAsia="方正楷体_GBK" w:cs="方正楷体_GBK"/>
          <w:b/>
          <w:bCs/>
          <w:color w:val="auto"/>
          <w:sz w:val="24"/>
          <w:szCs w:val="24"/>
          <w:lang w:val="en-US" w:eastAsia="zh-CN"/>
        </w:rPr>
        <w:t>一</w:t>
      </w:r>
      <w:r>
        <w:rPr>
          <w:rFonts w:hint="eastAsia" w:ascii="方正楷体_GBK" w:hAnsi="方正楷体_GBK" w:eastAsia="方正楷体_GBK" w:cs="方正楷体_GBK"/>
          <w:b/>
          <w:bCs/>
          <w:color w:val="auto"/>
          <w:sz w:val="24"/>
          <w:szCs w:val="24"/>
          <w:lang w:eastAsia="zh-CN"/>
        </w:rPr>
        <w:t>）</w:t>
      </w:r>
      <w:r>
        <w:rPr>
          <w:rFonts w:hint="eastAsia" w:ascii="方正楷体_GBK" w:hAnsi="方正楷体_GBK" w:eastAsia="方正楷体_GBK" w:cs="方正楷体_GBK"/>
          <w:b/>
          <w:bCs/>
          <w:color w:val="auto"/>
          <w:sz w:val="24"/>
          <w:szCs w:val="24"/>
          <w:lang w:val="en-US" w:eastAsia="zh-CN"/>
        </w:rPr>
        <w:t>外包服务费用标准</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8"/>
        <w:gridCol w:w="2154"/>
        <w:gridCol w:w="906"/>
        <w:gridCol w:w="1080"/>
        <w:gridCol w:w="1080"/>
        <w:gridCol w:w="900"/>
        <w:gridCol w:w="900"/>
        <w:gridCol w:w="1452"/>
      </w:tblGrid>
      <w:tr w14:paraId="546C7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49" w:hRule="atLeast"/>
        </w:trPr>
        <w:tc>
          <w:tcPr>
            <w:tcW w:w="568" w:type="dxa"/>
            <w:tcBorders>
              <w:top w:val="single" w:color="auto" w:sz="12" w:space="0"/>
              <w:bottom w:val="double" w:color="auto" w:sz="4" w:space="0"/>
            </w:tcBorders>
            <w:noWrap w:val="0"/>
            <w:vAlign w:val="center"/>
          </w:tcPr>
          <w:p w14:paraId="420C4B4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Arial" w:hAnsi="Arial" w:eastAsia="黑体"/>
                <w:color w:val="auto"/>
                <w:sz w:val="18"/>
                <w:lang w:eastAsia="zh-CN"/>
              </w:rPr>
            </w:pPr>
            <w:r>
              <w:rPr>
                <w:rFonts w:hint="eastAsia" w:ascii="Arial" w:hAnsi="Arial" w:eastAsia="黑体"/>
                <w:color w:val="auto"/>
                <w:sz w:val="18"/>
                <w:lang w:val="en-US" w:eastAsia="zh-CN"/>
              </w:rPr>
              <w:t>序号</w:t>
            </w:r>
          </w:p>
        </w:tc>
        <w:tc>
          <w:tcPr>
            <w:tcW w:w="2154" w:type="dxa"/>
            <w:tcBorders>
              <w:top w:val="single" w:color="auto" w:sz="12" w:space="0"/>
              <w:bottom w:val="double" w:color="auto" w:sz="4" w:space="0"/>
            </w:tcBorders>
            <w:noWrap w:val="0"/>
            <w:vAlign w:val="center"/>
          </w:tcPr>
          <w:p w14:paraId="14E2D5A4">
            <w:pPr>
              <w:keepNext w:val="0"/>
              <w:keepLines w:val="0"/>
              <w:pageBreakBefore w:val="0"/>
              <w:kinsoku/>
              <w:wordWrap/>
              <w:overflowPunct/>
              <w:topLinePunct w:val="0"/>
              <w:autoSpaceDE/>
              <w:autoSpaceDN/>
              <w:bidi w:val="0"/>
              <w:adjustRightInd/>
              <w:snapToGrid/>
              <w:spacing w:line="400" w:lineRule="exact"/>
              <w:jc w:val="center"/>
              <w:textAlignment w:val="auto"/>
              <w:rPr>
                <w:rFonts w:ascii="Arial" w:hAnsi="Arial" w:eastAsia="黑体"/>
                <w:color w:val="auto"/>
                <w:sz w:val="18"/>
              </w:rPr>
            </w:pPr>
            <w:r>
              <w:rPr>
                <w:rFonts w:hint="eastAsia" w:ascii="Arial" w:hAnsi="Arial" w:eastAsia="黑体"/>
                <w:color w:val="auto"/>
                <w:sz w:val="18"/>
                <w:lang w:val="en-US" w:eastAsia="zh-CN"/>
              </w:rPr>
              <w:t xml:space="preserve">电  梯  </w:t>
            </w:r>
            <w:r>
              <w:rPr>
                <w:rFonts w:hint="eastAsia" w:ascii="Arial" w:hAnsi="Arial" w:eastAsia="黑体"/>
                <w:color w:val="auto"/>
                <w:sz w:val="18"/>
              </w:rPr>
              <w:t>型</w:t>
            </w:r>
            <w:r>
              <w:rPr>
                <w:rFonts w:ascii="Arial" w:hAnsi="Arial" w:eastAsia="黑体"/>
                <w:color w:val="auto"/>
                <w:sz w:val="18"/>
              </w:rPr>
              <w:t xml:space="preserve">  </w:t>
            </w:r>
            <w:r>
              <w:rPr>
                <w:rFonts w:hint="eastAsia" w:ascii="Arial" w:hAnsi="Arial" w:eastAsia="黑体"/>
                <w:color w:val="auto"/>
                <w:sz w:val="18"/>
              </w:rPr>
              <w:t>号</w:t>
            </w:r>
          </w:p>
        </w:tc>
        <w:tc>
          <w:tcPr>
            <w:tcW w:w="906" w:type="dxa"/>
            <w:tcBorders>
              <w:top w:val="single" w:color="auto" w:sz="12" w:space="0"/>
              <w:bottom w:val="double" w:color="auto" w:sz="4" w:space="0"/>
            </w:tcBorders>
            <w:noWrap w:val="0"/>
            <w:vAlign w:val="center"/>
          </w:tcPr>
          <w:p w14:paraId="0A942A65">
            <w:pPr>
              <w:keepNext w:val="0"/>
              <w:keepLines w:val="0"/>
              <w:pageBreakBefore w:val="0"/>
              <w:kinsoku/>
              <w:wordWrap/>
              <w:overflowPunct/>
              <w:topLinePunct w:val="0"/>
              <w:autoSpaceDE/>
              <w:autoSpaceDN/>
              <w:bidi w:val="0"/>
              <w:adjustRightInd/>
              <w:snapToGrid/>
              <w:spacing w:line="400" w:lineRule="exact"/>
              <w:jc w:val="center"/>
              <w:textAlignment w:val="auto"/>
              <w:rPr>
                <w:rFonts w:ascii="Arial" w:hAnsi="Arial" w:eastAsia="黑体"/>
                <w:color w:val="auto"/>
                <w:sz w:val="18"/>
              </w:rPr>
            </w:pPr>
            <w:r>
              <w:rPr>
                <w:rFonts w:hint="eastAsia" w:ascii="Arial" w:hAnsi="Arial" w:eastAsia="黑体"/>
                <w:color w:val="auto"/>
                <w:sz w:val="18"/>
              </w:rPr>
              <w:t>速度</w:t>
            </w:r>
          </w:p>
          <w:p w14:paraId="7C8C4C81">
            <w:pPr>
              <w:pStyle w:val="12"/>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00" w:lineRule="exact"/>
              <w:textAlignment w:val="auto"/>
              <w:rPr>
                <w:rFonts w:eastAsia="黑体"/>
                <w:color w:val="auto"/>
              </w:rPr>
            </w:pPr>
            <w:r>
              <w:rPr>
                <w:rFonts w:eastAsia="黑体"/>
                <w:color w:val="auto"/>
              </w:rPr>
              <w:t>(m/s)</w:t>
            </w:r>
          </w:p>
        </w:tc>
        <w:tc>
          <w:tcPr>
            <w:tcW w:w="1080" w:type="dxa"/>
            <w:tcBorders>
              <w:top w:val="single" w:color="auto" w:sz="12" w:space="0"/>
              <w:bottom w:val="double" w:color="auto" w:sz="4" w:space="0"/>
            </w:tcBorders>
            <w:noWrap w:val="0"/>
            <w:vAlign w:val="center"/>
          </w:tcPr>
          <w:p w14:paraId="50C44E0B">
            <w:pPr>
              <w:keepNext w:val="0"/>
              <w:keepLines w:val="0"/>
              <w:pageBreakBefore w:val="0"/>
              <w:kinsoku/>
              <w:wordWrap/>
              <w:overflowPunct/>
              <w:topLinePunct w:val="0"/>
              <w:autoSpaceDE/>
              <w:autoSpaceDN/>
              <w:bidi w:val="0"/>
              <w:adjustRightInd/>
              <w:snapToGrid/>
              <w:spacing w:line="400" w:lineRule="exact"/>
              <w:jc w:val="center"/>
              <w:textAlignment w:val="auto"/>
              <w:rPr>
                <w:rFonts w:ascii="Arial" w:hAnsi="Arial" w:eastAsia="黑体"/>
                <w:color w:val="auto"/>
                <w:sz w:val="18"/>
              </w:rPr>
            </w:pPr>
            <w:r>
              <w:rPr>
                <w:rFonts w:hint="eastAsia" w:ascii="Arial" w:hAnsi="Arial" w:eastAsia="黑体"/>
                <w:color w:val="auto"/>
                <w:sz w:val="18"/>
              </w:rPr>
              <w:t>层站</w:t>
            </w:r>
          </w:p>
          <w:p w14:paraId="1524FAD0">
            <w:pPr>
              <w:keepNext w:val="0"/>
              <w:keepLines w:val="0"/>
              <w:pageBreakBefore w:val="0"/>
              <w:kinsoku/>
              <w:wordWrap/>
              <w:overflowPunct/>
              <w:topLinePunct w:val="0"/>
              <w:autoSpaceDE/>
              <w:autoSpaceDN/>
              <w:bidi w:val="0"/>
              <w:adjustRightInd/>
              <w:snapToGrid/>
              <w:spacing w:line="400" w:lineRule="exact"/>
              <w:jc w:val="center"/>
              <w:textAlignment w:val="auto"/>
              <w:rPr>
                <w:rFonts w:ascii="Arial" w:hAnsi="Arial" w:eastAsia="黑体"/>
                <w:color w:val="auto"/>
                <w:sz w:val="18"/>
              </w:rPr>
            </w:pPr>
            <w:r>
              <w:rPr>
                <w:rFonts w:eastAsia="黑体"/>
                <w:color w:val="auto"/>
                <w:sz w:val="18"/>
              </w:rPr>
              <w:t>(</w:t>
            </w:r>
            <w:r>
              <w:rPr>
                <w:rFonts w:hint="eastAsia" w:eastAsia="黑体"/>
                <w:color w:val="auto"/>
                <w:sz w:val="18"/>
              </w:rPr>
              <w:t>站</w:t>
            </w:r>
            <w:r>
              <w:rPr>
                <w:rFonts w:eastAsia="黑体"/>
                <w:color w:val="auto"/>
                <w:sz w:val="18"/>
              </w:rPr>
              <w:t>/</w:t>
            </w:r>
            <w:r>
              <w:rPr>
                <w:rFonts w:hint="eastAsia" w:eastAsia="黑体"/>
                <w:color w:val="auto"/>
                <w:sz w:val="18"/>
              </w:rPr>
              <w:t>门</w:t>
            </w:r>
            <w:r>
              <w:rPr>
                <w:rFonts w:eastAsia="黑体"/>
                <w:color w:val="auto"/>
                <w:sz w:val="18"/>
              </w:rPr>
              <w:t>)</w:t>
            </w:r>
          </w:p>
        </w:tc>
        <w:tc>
          <w:tcPr>
            <w:tcW w:w="1080" w:type="dxa"/>
            <w:tcBorders>
              <w:top w:val="single" w:color="auto" w:sz="12" w:space="0"/>
              <w:bottom w:val="double" w:color="auto" w:sz="4" w:space="0"/>
            </w:tcBorders>
            <w:noWrap w:val="0"/>
            <w:vAlign w:val="center"/>
          </w:tcPr>
          <w:p w14:paraId="5F6B2B2B">
            <w:pPr>
              <w:keepNext w:val="0"/>
              <w:keepLines w:val="0"/>
              <w:pageBreakBefore w:val="0"/>
              <w:kinsoku/>
              <w:wordWrap/>
              <w:overflowPunct/>
              <w:topLinePunct w:val="0"/>
              <w:autoSpaceDE/>
              <w:autoSpaceDN/>
              <w:bidi w:val="0"/>
              <w:adjustRightInd/>
              <w:snapToGrid/>
              <w:spacing w:line="400" w:lineRule="exact"/>
              <w:jc w:val="center"/>
              <w:textAlignment w:val="auto"/>
              <w:rPr>
                <w:rFonts w:ascii="Arial" w:hAnsi="Arial" w:eastAsia="黑体"/>
                <w:color w:val="auto"/>
                <w:sz w:val="18"/>
              </w:rPr>
            </w:pPr>
            <w:r>
              <w:rPr>
                <w:rFonts w:hint="eastAsia" w:ascii="Arial" w:hAnsi="Arial" w:eastAsia="黑体"/>
                <w:color w:val="auto"/>
                <w:sz w:val="18"/>
              </w:rPr>
              <w:t>月价</w:t>
            </w:r>
          </w:p>
          <w:p w14:paraId="78AB77C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rPr>
            </w:pPr>
            <w:r>
              <w:rPr>
                <w:rFonts w:ascii="宋体" w:hAnsi="宋体"/>
                <w:color w:val="auto"/>
                <w:sz w:val="18"/>
              </w:rPr>
              <w:t>(</w:t>
            </w:r>
            <w:r>
              <w:rPr>
                <w:rFonts w:hint="eastAsia" w:ascii="宋体" w:hAnsi="宋体"/>
                <w:color w:val="auto"/>
                <w:sz w:val="18"/>
              </w:rPr>
              <w:t>元</w:t>
            </w:r>
            <w:r>
              <w:rPr>
                <w:rFonts w:ascii="宋体" w:hAnsi="宋体"/>
                <w:color w:val="auto"/>
                <w:sz w:val="18"/>
              </w:rPr>
              <w:t>/</w:t>
            </w:r>
            <w:r>
              <w:rPr>
                <w:rFonts w:hint="eastAsia" w:ascii="宋体" w:hAnsi="宋体"/>
                <w:color w:val="auto"/>
                <w:sz w:val="18"/>
              </w:rPr>
              <w:t>台</w:t>
            </w:r>
            <w:r>
              <w:rPr>
                <w:rFonts w:ascii="宋体" w:hAnsi="宋体"/>
                <w:color w:val="auto"/>
                <w:sz w:val="18"/>
              </w:rPr>
              <w:t>)</w:t>
            </w:r>
          </w:p>
        </w:tc>
        <w:tc>
          <w:tcPr>
            <w:tcW w:w="900" w:type="dxa"/>
            <w:tcBorders>
              <w:top w:val="single" w:color="auto" w:sz="12" w:space="0"/>
              <w:bottom w:val="double" w:color="auto" w:sz="4" w:space="0"/>
            </w:tcBorders>
            <w:noWrap w:val="0"/>
            <w:vAlign w:val="center"/>
          </w:tcPr>
          <w:p w14:paraId="51BF97A7">
            <w:pPr>
              <w:keepNext w:val="0"/>
              <w:keepLines w:val="0"/>
              <w:pageBreakBefore w:val="0"/>
              <w:kinsoku/>
              <w:wordWrap/>
              <w:overflowPunct/>
              <w:topLinePunct w:val="0"/>
              <w:autoSpaceDE/>
              <w:autoSpaceDN/>
              <w:bidi w:val="0"/>
              <w:adjustRightInd/>
              <w:snapToGrid/>
              <w:spacing w:line="400" w:lineRule="exact"/>
              <w:jc w:val="center"/>
              <w:textAlignment w:val="auto"/>
              <w:rPr>
                <w:rFonts w:ascii="Arial" w:hAnsi="Arial" w:eastAsia="黑体"/>
                <w:color w:val="auto"/>
                <w:sz w:val="18"/>
              </w:rPr>
            </w:pPr>
            <w:r>
              <w:rPr>
                <w:rFonts w:hint="eastAsia" w:ascii="Arial" w:hAnsi="Arial" w:eastAsia="黑体"/>
                <w:color w:val="auto"/>
                <w:sz w:val="18"/>
              </w:rPr>
              <w:t>数量</w:t>
            </w:r>
          </w:p>
          <w:p w14:paraId="40EDC130">
            <w:pPr>
              <w:keepNext w:val="0"/>
              <w:keepLines w:val="0"/>
              <w:pageBreakBefore w:val="0"/>
              <w:kinsoku/>
              <w:wordWrap/>
              <w:overflowPunct/>
              <w:topLinePunct w:val="0"/>
              <w:autoSpaceDE/>
              <w:autoSpaceDN/>
              <w:bidi w:val="0"/>
              <w:adjustRightInd/>
              <w:snapToGrid/>
              <w:spacing w:line="400" w:lineRule="exact"/>
              <w:jc w:val="center"/>
              <w:textAlignment w:val="auto"/>
              <w:rPr>
                <w:rFonts w:ascii="Arial" w:hAnsi="Arial" w:eastAsia="黑体"/>
                <w:color w:val="auto"/>
                <w:sz w:val="18"/>
              </w:rPr>
            </w:pPr>
            <w:r>
              <w:rPr>
                <w:rFonts w:ascii="宋体" w:hAnsi="宋体"/>
                <w:color w:val="auto"/>
                <w:sz w:val="18"/>
              </w:rPr>
              <w:t>(</w:t>
            </w:r>
            <w:r>
              <w:rPr>
                <w:rFonts w:hint="eastAsia" w:ascii="宋体" w:hAnsi="宋体"/>
                <w:color w:val="auto"/>
                <w:sz w:val="18"/>
              </w:rPr>
              <w:t>台</w:t>
            </w:r>
            <w:r>
              <w:rPr>
                <w:rFonts w:ascii="宋体" w:hAnsi="宋体"/>
                <w:color w:val="auto"/>
                <w:sz w:val="18"/>
              </w:rPr>
              <w:t>)</w:t>
            </w:r>
          </w:p>
        </w:tc>
        <w:tc>
          <w:tcPr>
            <w:tcW w:w="900" w:type="dxa"/>
            <w:tcBorders>
              <w:top w:val="single" w:color="auto" w:sz="12" w:space="0"/>
              <w:bottom w:val="double" w:color="auto" w:sz="4" w:space="0"/>
            </w:tcBorders>
            <w:noWrap w:val="0"/>
            <w:vAlign w:val="center"/>
          </w:tcPr>
          <w:p w14:paraId="4E06B5F9">
            <w:pPr>
              <w:keepNext w:val="0"/>
              <w:keepLines w:val="0"/>
              <w:pageBreakBefore w:val="0"/>
              <w:kinsoku/>
              <w:wordWrap/>
              <w:overflowPunct/>
              <w:topLinePunct w:val="0"/>
              <w:autoSpaceDE/>
              <w:autoSpaceDN/>
              <w:bidi w:val="0"/>
              <w:adjustRightInd/>
              <w:snapToGrid/>
              <w:spacing w:line="400" w:lineRule="exact"/>
              <w:jc w:val="center"/>
              <w:textAlignment w:val="auto"/>
              <w:rPr>
                <w:rFonts w:ascii="Arial" w:hAnsi="Arial" w:eastAsia="黑体"/>
                <w:color w:val="auto"/>
                <w:sz w:val="18"/>
              </w:rPr>
            </w:pPr>
            <w:r>
              <w:rPr>
                <w:rFonts w:hint="eastAsia" w:ascii="Arial" w:hAnsi="Arial" w:eastAsia="黑体"/>
                <w:color w:val="auto"/>
                <w:sz w:val="18"/>
              </w:rPr>
              <w:t>服务期</w:t>
            </w:r>
          </w:p>
          <w:p w14:paraId="243EE48F">
            <w:pPr>
              <w:keepNext w:val="0"/>
              <w:keepLines w:val="0"/>
              <w:pageBreakBefore w:val="0"/>
              <w:kinsoku/>
              <w:wordWrap/>
              <w:overflowPunct/>
              <w:topLinePunct w:val="0"/>
              <w:autoSpaceDE/>
              <w:autoSpaceDN/>
              <w:bidi w:val="0"/>
              <w:adjustRightInd/>
              <w:snapToGrid/>
              <w:spacing w:line="400" w:lineRule="exact"/>
              <w:jc w:val="center"/>
              <w:textAlignment w:val="auto"/>
              <w:rPr>
                <w:rFonts w:ascii="Arial" w:hAnsi="Arial" w:eastAsia="黑体"/>
                <w:color w:val="auto"/>
                <w:sz w:val="18"/>
              </w:rPr>
            </w:pPr>
            <w:r>
              <w:rPr>
                <w:rFonts w:ascii="宋体" w:hAnsi="宋体"/>
                <w:color w:val="auto"/>
                <w:sz w:val="18"/>
              </w:rPr>
              <w:t>(</w:t>
            </w:r>
            <w:r>
              <w:rPr>
                <w:rFonts w:hint="eastAsia" w:ascii="宋体" w:hAnsi="宋体"/>
                <w:color w:val="auto"/>
                <w:sz w:val="18"/>
              </w:rPr>
              <w:t>月</w:t>
            </w:r>
            <w:r>
              <w:rPr>
                <w:rFonts w:ascii="宋体" w:hAnsi="宋体"/>
                <w:color w:val="auto"/>
                <w:sz w:val="18"/>
              </w:rPr>
              <w:t>)</w:t>
            </w:r>
          </w:p>
        </w:tc>
        <w:tc>
          <w:tcPr>
            <w:tcW w:w="1452" w:type="dxa"/>
            <w:tcBorders>
              <w:top w:val="single" w:color="auto" w:sz="12" w:space="0"/>
              <w:bottom w:val="double" w:color="auto" w:sz="4" w:space="0"/>
            </w:tcBorders>
            <w:noWrap w:val="0"/>
            <w:vAlign w:val="center"/>
          </w:tcPr>
          <w:p w14:paraId="55CE91DD">
            <w:pPr>
              <w:keepNext w:val="0"/>
              <w:keepLines w:val="0"/>
              <w:pageBreakBefore w:val="0"/>
              <w:kinsoku/>
              <w:wordWrap/>
              <w:overflowPunct/>
              <w:topLinePunct w:val="0"/>
              <w:autoSpaceDE/>
              <w:autoSpaceDN/>
              <w:bidi w:val="0"/>
              <w:adjustRightInd/>
              <w:snapToGrid/>
              <w:spacing w:line="400" w:lineRule="exact"/>
              <w:jc w:val="center"/>
              <w:textAlignment w:val="auto"/>
              <w:rPr>
                <w:rFonts w:ascii="Arial" w:hAnsi="Arial" w:eastAsia="黑体"/>
                <w:color w:val="auto"/>
                <w:sz w:val="18"/>
              </w:rPr>
            </w:pPr>
            <w:r>
              <w:rPr>
                <w:rFonts w:hint="eastAsia" w:ascii="Arial" w:hAnsi="Arial" w:eastAsia="黑体"/>
                <w:color w:val="auto"/>
                <w:sz w:val="18"/>
              </w:rPr>
              <w:t>小计</w:t>
            </w:r>
          </w:p>
          <w:p w14:paraId="0E0A29F0">
            <w:pPr>
              <w:keepNext w:val="0"/>
              <w:keepLines w:val="0"/>
              <w:pageBreakBefore w:val="0"/>
              <w:kinsoku/>
              <w:wordWrap/>
              <w:overflowPunct/>
              <w:topLinePunct w:val="0"/>
              <w:autoSpaceDE/>
              <w:autoSpaceDN/>
              <w:bidi w:val="0"/>
              <w:adjustRightInd/>
              <w:snapToGrid/>
              <w:spacing w:line="400" w:lineRule="exact"/>
              <w:jc w:val="center"/>
              <w:textAlignment w:val="auto"/>
              <w:rPr>
                <w:rFonts w:ascii="Arial" w:hAnsi="Arial" w:eastAsia="黑体"/>
                <w:color w:val="auto"/>
                <w:sz w:val="18"/>
              </w:rPr>
            </w:pPr>
            <w:r>
              <w:rPr>
                <w:rFonts w:hint="eastAsia" w:ascii="宋体" w:hAnsi="宋体"/>
                <w:color w:val="auto"/>
                <w:sz w:val="18"/>
              </w:rPr>
              <w:t>（元）</w:t>
            </w:r>
          </w:p>
        </w:tc>
      </w:tr>
      <w:tr w14:paraId="130CB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1" w:hRule="exact"/>
        </w:trPr>
        <w:tc>
          <w:tcPr>
            <w:tcW w:w="568" w:type="dxa"/>
            <w:tcBorders>
              <w:top w:val="double" w:color="auto" w:sz="4" w:space="0"/>
              <w:bottom w:val="double" w:color="auto" w:sz="4" w:space="0"/>
            </w:tcBorders>
            <w:noWrap w:val="0"/>
            <w:vAlign w:val="top"/>
          </w:tcPr>
          <w:p w14:paraId="35B2E1E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color w:val="auto"/>
                <w:sz w:val="18"/>
                <w:szCs w:val="18"/>
                <w:lang w:val="en-US" w:eastAsia="zh-CN"/>
              </w:rPr>
            </w:pPr>
            <w:r>
              <w:rPr>
                <w:rFonts w:hint="eastAsia"/>
                <w:color w:val="auto"/>
                <w:sz w:val="18"/>
                <w:szCs w:val="18"/>
                <w:lang w:val="en-US" w:eastAsia="zh-CN"/>
              </w:rPr>
              <w:t>1</w:t>
            </w:r>
          </w:p>
        </w:tc>
        <w:tc>
          <w:tcPr>
            <w:tcW w:w="2154" w:type="dxa"/>
            <w:tcBorders>
              <w:top w:val="double" w:color="auto" w:sz="4" w:space="0"/>
              <w:bottom w:val="double" w:color="auto" w:sz="4" w:space="0"/>
            </w:tcBorders>
            <w:noWrap w:val="0"/>
            <w:vAlign w:val="top"/>
          </w:tcPr>
          <w:p w14:paraId="3C9C6693">
            <w:pPr>
              <w:keepNext w:val="0"/>
              <w:keepLines w:val="0"/>
              <w:pageBreakBefore w:val="0"/>
              <w:kinsoku/>
              <w:wordWrap/>
              <w:overflowPunct/>
              <w:topLinePunct w:val="0"/>
              <w:autoSpaceDE/>
              <w:autoSpaceDN/>
              <w:bidi w:val="0"/>
              <w:adjustRightInd/>
              <w:snapToGrid/>
              <w:spacing w:line="400" w:lineRule="exact"/>
              <w:textAlignment w:val="auto"/>
              <w:rPr>
                <w:rFonts w:hint="eastAsia"/>
                <w:color w:val="auto"/>
                <w:sz w:val="18"/>
                <w:szCs w:val="18"/>
              </w:rPr>
            </w:pPr>
            <w:r>
              <w:rPr>
                <w:rFonts w:hint="eastAsia" w:ascii="Times New Roman" w:hAnsi="Times New Roman" w:eastAsia="方正仿宋_GBK" w:cs="Times New Roman"/>
                <w:color w:val="auto"/>
                <w:sz w:val="20"/>
                <w:szCs w:val="20"/>
                <w:lang w:val="en-US" w:eastAsia="zh-CN"/>
              </w:rPr>
              <w:t>AEP（N）-V</w:t>
            </w:r>
          </w:p>
        </w:tc>
        <w:tc>
          <w:tcPr>
            <w:tcW w:w="906" w:type="dxa"/>
            <w:tcBorders>
              <w:top w:val="double" w:color="auto" w:sz="4" w:space="0"/>
              <w:bottom w:val="double" w:color="auto" w:sz="4" w:space="0"/>
            </w:tcBorders>
            <w:noWrap w:val="0"/>
            <w:vAlign w:val="top"/>
          </w:tcPr>
          <w:p w14:paraId="6FC528A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0"/>
                <w:lang w:val="en-US" w:eastAsia="zh-CN"/>
              </w:rPr>
            </w:pPr>
            <w:r>
              <w:rPr>
                <w:rFonts w:hint="default" w:ascii="Times New Roman" w:hAnsi="Times New Roman" w:cs="Times New Roman"/>
                <w:color w:val="auto"/>
                <w:sz w:val="20"/>
                <w:lang w:val="en-US" w:eastAsia="zh-CN"/>
              </w:rPr>
              <w:t>1.0</w:t>
            </w:r>
          </w:p>
        </w:tc>
        <w:tc>
          <w:tcPr>
            <w:tcW w:w="1080" w:type="dxa"/>
            <w:tcBorders>
              <w:top w:val="double" w:color="auto" w:sz="4" w:space="0"/>
              <w:bottom w:val="double" w:color="auto" w:sz="4" w:space="0"/>
            </w:tcBorders>
            <w:noWrap w:val="0"/>
            <w:vAlign w:val="top"/>
          </w:tcPr>
          <w:p w14:paraId="41FE202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9</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9</w:t>
            </w:r>
          </w:p>
        </w:tc>
        <w:tc>
          <w:tcPr>
            <w:tcW w:w="1080" w:type="dxa"/>
            <w:tcBorders>
              <w:top w:val="double" w:color="auto" w:sz="4" w:space="0"/>
              <w:bottom w:val="double" w:color="auto" w:sz="4" w:space="0"/>
            </w:tcBorders>
            <w:noWrap w:val="0"/>
            <w:vAlign w:val="top"/>
          </w:tcPr>
          <w:p w14:paraId="5132D42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Cs w:val="21"/>
                <w:lang w:val="en-US" w:eastAsia="zh-CN"/>
              </w:rPr>
            </w:pPr>
          </w:p>
        </w:tc>
        <w:tc>
          <w:tcPr>
            <w:tcW w:w="900" w:type="dxa"/>
            <w:tcBorders>
              <w:top w:val="double" w:color="auto" w:sz="4" w:space="0"/>
              <w:bottom w:val="double" w:color="auto" w:sz="4" w:space="0"/>
            </w:tcBorders>
            <w:noWrap w:val="0"/>
            <w:vAlign w:val="top"/>
          </w:tcPr>
          <w:p w14:paraId="3491CE9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w:t>
            </w:r>
          </w:p>
        </w:tc>
        <w:tc>
          <w:tcPr>
            <w:tcW w:w="900" w:type="dxa"/>
            <w:tcBorders>
              <w:top w:val="double" w:color="auto" w:sz="4" w:space="0"/>
              <w:bottom w:val="double" w:color="auto" w:sz="4" w:space="0"/>
            </w:tcBorders>
            <w:noWrap w:val="0"/>
            <w:vAlign w:val="top"/>
          </w:tcPr>
          <w:p w14:paraId="1C4E8FF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36</w:t>
            </w:r>
          </w:p>
        </w:tc>
        <w:tc>
          <w:tcPr>
            <w:tcW w:w="1452" w:type="dxa"/>
            <w:tcBorders>
              <w:top w:val="double" w:color="auto" w:sz="4" w:space="0"/>
              <w:bottom w:val="double" w:color="auto" w:sz="4" w:space="0"/>
            </w:tcBorders>
            <w:noWrap w:val="0"/>
            <w:vAlign w:val="top"/>
          </w:tcPr>
          <w:p w14:paraId="258B9FA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Cs w:val="21"/>
                <w:lang w:val="en-US" w:eastAsia="zh-CN"/>
              </w:rPr>
            </w:pPr>
          </w:p>
        </w:tc>
      </w:tr>
      <w:tr w14:paraId="41747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1" w:hRule="exact"/>
        </w:trPr>
        <w:tc>
          <w:tcPr>
            <w:tcW w:w="568" w:type="dxa"/>
            <w:tcBorders>
              <w:top w:val="double" w:color="auto" w:sz="4" w:space="0"/>
              <w:bottom w:val="double" w:color="auto" w:sz="4" w:space="0"/>
            </w:tcBorders>
            <w:noWrap w:val="0"/>
            <w:vAlign w:val="top"/>
          </w:tcPr>
          <w:p w14:paraId="7021E2D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宋体"/>
                <w:color w:val="auto"/>
                <w:sz w:val="18"/>
                <w:szCs w:val="18"/>
                <w:lang w:val="en-US" w:eastAsia="zh-CN"/>
              </w:rPr>
            </w:pPr>
            <w:r>
              <w:rPr>
                <w:rFonts w:hint="eastAsia"/>
                <w:color w:val="auto"/>
                <w:sz w:val="18"/>
                <w:szCs w:val="18"/>
                <w:lang w:val="en-US" w:eastAsia="zh-CN"/>
              </w:rPr>
              <w:t>2</w:t>
            </w:r>
          </w:p>
        </w:tc>
        <w:tc>
          <w:tcPr>
            <w:tcW w:w="2154" w:type="dxa"/>
            <w:tcBorders>
              <w:top w:val="double" w:color="auto" w:sz="4" w:space="0"/>
              <w:bottom w:val="double" w:color="auto" w:sz="4" w:space="0"/>
            </w:tcBorders>
            <w:noWrap w:val="0"/>
            <w:vAlign w:val="top"/>
          </w:tcPr>
          <w:p w14:paraId="24C5FB6E">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AEP（N）-V</w:t>
            </w:r>
          </w:p>
        </w:tc>
        <w:tc>
          <w:tcPr>
            <w:tcW w:w="906" w:type="dxa"/>
            <w:tcBorders>
              <w:top w:val="double" w:color="auto" w:sz="4" w:space="0"/>
              <w:bottom w:val="double" w:color="auto" w:sz="4" w:space="0"/>
            </w:tcBorders>
            <w:shd w:val="clear" w:color="auto" w:fill="auto"/>
            <w:noWrap w:val="0"/>
            <w:vAlign w:val="top"/>
          </w:tcPr>
          <w:p w14:paraId="63C32F8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0"/>
                <w:szCs w:val="22"/>
                <w:lang w:val="en-US" w:eastAsia="zh-CN" w:bidi="ar-SA"/>
              </w:rPr>
            </w:pPr>
            <w:r>
              <w:rPr>
                <w:rFonts w:hint="default" w:ascii="Times New Roman" w:hAnsi="Times New Roman" w:cs="Times New Roman"/>
                <w:color w:val="auto"/>
                <w:sz w:val="20"/>
                <w:lang w:val="en-US" w:eastAsia="zh-CN"/>
              </w:rPr>
              <w:t>1.0</w:t>
            </w:r>
          </w:p>
        </w:tc>
        <w:tc>
          <w:tcPr>
            <w:tcW w:w="1080" w:type="dxa"/>
            <w:tcBorders>
              <w:top w:val="double" w:color="auto" w:sz="4" w:space="0"/>
              <w:bottom w:val="double" w:color="auto" w:sz="4" w:space="0"/>
            </w:tcBorders>
            <w:shd w:val="clear" w:color="auto" w:fill="auto"/>
            <w:noWrap w:val="0"/>
            <w:vAlign w:val="top"/>
          </w:tcPr>
          <w:p w14:paraId="2FA9333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8</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8</w:t>
            </w:r>
          </w:p>
        </w:tc>
        <w:tc>
          <w:tcPr>
            <w:tcW w:w="1080" w:type="dxa"/>
            <w:tcBorders>
              <w:top w:val="double" w:color="auto" w:sz="4" w:space="0"/>
              <w:bottom w:val="double" w:color="auto" w:sz="4" w:space="0"/>
            </w:tcBorders>
            <w:shd w:val="clear" w:color="auto" w:fill="auto"/>
            <w:noWrap w:val="0"/>
            <w:vAlign w:val="top"/>
          </w:tcPr>
          <w:p w14:paraId="54769EE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lang w:val="en-US" w:eastAsia="zh-CN" w:bidi="ar-SA"/>
              </w:rPr>
            </w:pPr>
          </w:p>
        </w:tc>
        <w:tc>
          <w:tcPr>
            <w:tcW w:w="900" w:type="dxa"/>
            <w:tcBorders>
              <w:top w:val="double" w:color="auto" w:sz="4" w:space="0"/>
              <w:bottom w:val="double" w:color="auto" w:sz="4" w:space="0"/>
            </w:tcBorders>
            <w:shd w:val="clear" w:color="auto" w:fill="auto"/>
            <w:noWrap w:val="0"/>
            <w:vAlign w:val="top"/>
          </w:tcPr>
          <w:p w14:paraId="5A9F8D1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2</w:t>
            </w:r>
          </w:p>
        </w:tc>
        <w:tc>
          <w:tcPr>
            <w:tcW w:w="900" w:type="dxa"/>
            <w:tcBorders>
              <w:top w:val="double" w:color="auto" w:sz="4" w:space="0"/>
              <w:bottom w:val="double" w:color="auto" w:sz="4" w:space="0"/>
            </w:tcBorders>
            <w:shd w:val="clear" w:color="auto" w:fill="auto"/>
            <w:noWrap w:val="0"/>
            <w:vAlign w:val="top"/>
          </w:tcPr>
          <w:p w14:paraId="15D66BC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36</w:t>
            </w:r>
          </w:p>
        </w:tc>
        <w:tc>
          <w:tcPr>
            <w:tcW w:w="1452" w:type="dxa"/>
            <w:tcBorders>
              <w:top w:val="double" w:color="auto" w:sz="4" w:space="0"/>
              <w:bottom w:val="double" w:color="auto" w:sz="4" w:space="0"/>
            </w:tcBorders>
            <w:shd w:val="clear" w:color="auto" w:fill="auto"/>
            <w:noWrap w:val="0"/>
            <w:vAlign w:val="top"/>
          </w:tcPr>
          <w:p w14:paraId="6939D47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lang w:val="en-US" w:eastAsia="zh-CN" w:bidi="ar-SA"/>
              </w:rPr>
            </w:pPr>
          </w:p>
        </w:tc>
      </w:tr>
    </w:tbl>
    <w:p w14:paraId="25BF5071">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82" w:firstLineChars="200"/>
        <w:textAlignment w:val="auto"/>
        <w:rPr>
          <w:rFonts w:hint="eastAsia" w:ascii="方正楷体_GBK" w:hAnsi="方正楷体_GBK" w:eastAsia="方正楷体_GBK" w:cs="方正楷体_GBK"/>
          <w:b/>
          <w:bCs/>
          <w:color w:val="auto"/>
          <w:sz w:val="24"/>
          <w:szCs w:val="24"/>
          <w:lang w:val="en-US" w:eastAsia="zh-CN"/>
        </w:rPr>
      </w:pPr>
      <w:r>
        <w:rPr>
          <w:rFonts w:hint="eastAsia" w:ascii="方正楷体_GBK" w:hAnsi="方正楷体_GBK" w:eastAsia="方正楷体_GBK" w:cs="方正楷体_GBK"/>
          <w:b/>
          <w:bCs/>
          <w:color w:val="auto"/>
          <w:sz w:val="24"/>
          <w:szCs w:val="24"/>
          <w:lang w:val="en-US" w:eastAsia="zh-CN"/>
        </w:rPr>
        <w:t>服务费用支付方式及开票</w:t>
      </w:r>
    </w:p>
    <w:p w14:paraId="4685A23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b w:val="0"/>
          <w:bCs/>
          <w:color w:val="auto"/>
          <w:sz w:val="24"/>
          <w:lang w:val="en-US" w:eastAsia="zh-CN"/>
        </w:rPr>
        <w:t>1.次季度首月</w:t>
      </w:r>
      <w:r>
        <w:rPr>
          <w:rFonts w:hint="default" w:ascii="Times New Roman" w:hAnsi="Times New Roman" w:eastAsia="方正仿宋_GBK" w:cs="Times New Roman"/>
          <w:b w:val="0"/>
          <w:bCs/>
          <w:color w:val="auto"/>
          <w:sz w:val="24"/>
          <w:lang w:val="en-US" w:eastAsia="zh-CN"/>
        </w:rPr>
        <w:t>15日</w:t>
      </w:r>
      <w:r>
        <w:rPr>
          <w:rFonts w:hint="default" w:ascii="Times New Roman" w:hAnsi="Times New Roman" w:eastAsia="方正仿宋_GBK" w:cs="Times New Roman"/>
          <w:color w:val="auto"/>
          <w:sz w:val="24"/>
          <w:szCs w:val="24"/>
          <w:lang w:val="en-US" w:eastAsia="zh-CN"/>
        </w:rPr>
        <w:t>前，经甲方</w:t>
      </w:r>
      <w:r>
        <w:rPr>
          <w:rFonts w:hint="eastAsia" w:ascii="Times New Roman" w:hAnsi="Times New Roman" w:eastAsia="方正仿宋_GBK" w:cs="Times New Roman"/>
          <w:color w:val="auto"/>
          <w:sz w:val="24"/>
          <w:szCs w:val="24"/>
          <w:lang w:val="en-US" w:eastAsia="zh-CN"/>
        </w:rPr>
        <w:t>对乙方上季度服务质量进行</w:t>
      </w:r>
      <w:r>
        <w:rPr>
          <w:rFonts w:hint="eastAsia" w:ascii="Times New Roman" w:hAnsi="Times New Roman" w:eastAsia="方正仿宋_GBK" w:cs="Times New Roman"/>
          <w:b w:val="0"/>
          <w:bCs/>
          <w:color w:val="auto"/>
          <w:sz w:val="24"/>
          <w:lang w:val="en-US" w:eastAsia="zh-CN"/>
        </w:rPr>
        <w:t>验收评价，</w:t>
      </w:r>
      <w:r>
        <w:rPr>
          <w:rFonts w:hint="default" w:ascii="Times New Roman" w:hAnsi="Times New Roman" w:eastAsia="方正仿宋_GBK" w:cs="Times New Roman"/>
          <w:b w:val="0"/>
          <w:bCs/>
          <w:color w:val="auto"/>
          <w:sz w:val="24"/>
          <w:lang w:val="en-US" w:eastAsia="zh-CN"/>
        </w:rPr>
        <w:t>乙方</w:t>
      </w:r>
      <w:r>
        <w:rPr>
          <w:rFonts w:hint="eastAsia" w:ascii="Times New Roman" w:hAnsi="Times New Roman" w:eastAsia="方正仿宋_GBK" w:cs="Times New Roman"/>
          <w:b w:val="0"/>
          <w:bCs/>
          <w:color w:val="auto"/>
          <w:sz w:val="24"/>
          <w:lang w:val="en-US" w:eastAsia="zh-CN"/>
        </w:rPr>
        <w:t>根据甲方验收评价后实际应支付的服务费开具</w:t>
      </w:r>
      <w:r>
        <w:rPr>
          <w:rFonts w:hint="eastAsia" w:ascii="Times New Roman" w:hAnsi="Times New Roman" w:eastAsia="方正仿宋_GBK" w:cs="方正仿宋_GBK"/>
          <w:color w:val="auto"/>
          <w:sz w:val="24"/>
          <w:szCs w:val="24"/>
          <w:lang w:val="en-US" w:eastAsia="zh-CN"/>
        </w:rPr>
        <w:t>增值税专用发票，</w:t>
      </w:r>
      <w:r>
        <w:rPr>
          <w:rFonts w:hint="eastAsia" w:ascii="Times New Roman" w:hAnsi="Times New Roman" w:eastAsia="方正仿宋_GBK" w:cs="Times New Roman"/>
          <w:b w:val="0"/>
          <w:bCs/>
          <w:color w:val="auto"/>
          <w:sz w:val="24"/>
          <w:lang w:val="en-US" w:eastAsia="zh-CN"/>
        </w:rPr>
        <w:t>再由甲方将</w:t>
      </w:r>
      <w:r>
        <w:rPr>
          <w:rFonts w:hint="default" w:ascii="Times New Roman" w:hAnsi="Times New Roman" w:eastAsia="方正仿宋_GBK" w:cs="Times New Roman"/>
          <w:b w:val="0"/>
          <w:bCs/>
          <w:color w:val="auto"/>
          <w:sz w:val="24"/>
          <w:lang w:val="en-US" w:eastAsia="zh-CN"/>
        </w:rPr>
        <w:t>上</w:t>
      </w:r>
      <w:r>
        <w:rPr>
          <w:rFonts w:hint="eastAsia" w:ascii="Times New Roman" w:hAnsi="Times New Roman" w:eastAsia="方正仿宋_GBK" w:cs="Times New Roman"/>
          <w:b w:val="0"/>
          <w:bCs/>
          <w:color w:val="auto"/>
          <w:sz w:val="24"/>
          <w:lang w:val="en-US" w:eastAsia="zh-CN"/>
        </w:rPr>
        <w:t>季度电梯维护保养</w:t>
      </w:r>
      <w:r>
        <w:rPr>
          <w:rFonts w:hint="default" w:ascii="Times New Roman" w:hAnsi="Times New Roman" w:eastAsia="方正仿宋_GBK" w:cs="Times New Roman"/>
          <w:b w:val="0"/>
          <w:bCs/>
          <w:color w:val="auto"/>
          <w:sz w:val="24"/>
          <w:lang w:val="en-US" w:eastAsia="zh-CN"/>
        </w:rPr>
        <w:t>服务费用</w:t>
      </w:r>
      <w:r>
        <w:rPr>
          <w:rFonts w:hint="eastAsia" w:ascii="Times New Roman" w:hAnsi="Times New Roman" w:eastAsia="方正仿宋_GBK" w:cs="Times New Roman"/>
          <w:b w:val="0"/>
          <w:bCs/>
          <w:color w:val="auto"/>
          <w:sz w:val="24"/>
          <w:lang w:val="en-US" w:eastAsia="zh-CN"/>
        </w:rPr>
        <w:t>支付乙方（付款期限详见如下表格）</w:t>
      </w:r>
      <w:r>
        <w:rPr>
          <w:rFonts w:hint="default" w:ascii="Times New Roman" w:hAnsi="Times New Roman" w:eastAsia="方正仿宋_GBK" w:cs="Times New Roman"/>
          <w:b w:val="0"/>
          <w:bCs/>
          <w:color w:val="auto"/>
          <w:sz w:val="24"/>
          <w:lang w:val="en-US" w:eastAsia="zh-CN"/>
        </w:rPr>
        <w:t>。</w:t>
      </w:r>
    </w:p>
    <w:tbl>
      <w:tblPr>
        <w:tblStyle w:val="16"/>
        <w:tblW w:w="91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5"/>
        <w:gridCol w:w="2411"/>
        <w:gridCol w:w="1591"/>
        <w:gridCol w:w="584"/>
        <w:gridCol w:w="2410"/>
        <w:gridCol w:w="1593"/>
      </w:tblGrid>
      <w:tr w14:paraId="5C013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585" w:type="dxa"/>
            <w:noWrap w:val="0"/>
            <w:vAlign w:val="center"/>
          </w:tcPr>
          <w:p w14:paraId="6F03D7DD">
            <w:pPr>
              <w:keepNext w:val="0"/>
              <w:keepLines w:val="0"/>
              <w:pageBreakBefore w:val="0"/>
              <w:kinsoku/>
              <w:wordWrap/>
              <w:overflowPunct/>
              <w:topLinePunct w:val="0"/>
              <w:autoSpaceDE/>
              <w:autoSpaceDN/>
              <w:bidi w:val="0"/>
              <w:adjustRightInd/>
              <w:snapToGrid/>
              <w:spacing w:line="400" w:lineRule="exact"/>
              <w:jc w:val="center"/>
              <w:textAlignment w:val="auto"/>
              <w:rPr>
                <w:rFonts w:eastAsia="黑体"/>
                <w:color w:val="auto"/>
                <w:sz w:val="20"/>
              </w:rPr>
            </w:pPr>
            <w:r>
              <w:rPr>
                <w:rFonts w:hint="eastAsia" w:eastAsia="黑体"/>
                <w:color w:val="auto"/>
                <w:sz w:val="20"/>
              </w:rPr>
              <w:t>序号</w:t>
            </w:r>
          </w:p>
        </w:tc>
        <w:tc>
          <w:tcPr>
            <w:tcW w:w="2411" w:type="dxa"/>
            <w:noWrap w:val="0"/>
            <w:vAlign w:val="center"/>
          </w:tcPr>
          <w:p w14:paraId="6C9118B5">
            <w:pPr>
              <w:keepNext w:val="0"/>
              <w:keepLines w:val="0"/>
              <w:pageBreakBefore w:val="0"/>
              <w:kinsoku/>
              <w:wordWrap/>
              <w:overflowPunct/>
              <w:topLinePunct w:val="0"/>
              <w:autoSpaceDE/>
              <w:autoSpaceDN/>
              <w:bidi w:val="0"/>
              <w:adjustRightInd/>
              <w:snapToGrid/>
              <w:spacing w:line="400" w:lineRule="exact"/>
              <w:jc w:val="center"/>
              <w:textAlignment w:val="auto"/>
              <w:rPr>
                <w:rFonts w:eastAsia="黑体"/>
                <w:color w:val="auto"/>
                <w:sz w:val="20"/>
              </w:rPr>
            </w:pPr>
            <w:r>
              <w:rPr>
                <w:rFonts w:hint="eastAsia" w:eastAsia="黑体"/>
                <w:color w:val="auto"/>
                <w:sz w:val="20"/>
              </w:rPr>
              <w:t>支</w:t>
            </w:r>
            <w:r>
              <w:rPr>
                <w:rFonts w:eastAsia="黑体"/>
                <w:color w:val="auto"/>
                <w:sz w:val="20"/>
              </w:rPr>
              <w:t xml:space="preserve">  </w:t>
            </w:r>
            <w:r>
              <w:rPr>
                <w:rFonts w:hint="eastAsia" w:eastAsia="黑体"/>
                <w:color w:val="auto"/>
                <w:sz w:val="20"/>
              </w:rPr>
              <w:t>付</w:t>
            </w:r>
            <w:r>
              <w:rPr>
                <w:rFonts w:eastAsia="黑体"/>
                <w:color w:val="auto"/>
                <w:sz w:val="20"/>
              </w:rPr>
              <w:t xml:space="preserve">  </w:t>
            </w:r>
            <w:r>
              <w:rPr>
                <w:rFonts w:hint="eastAsia" w:eastAsia="黑体"/>
                <w:color w:val="auto"/>
                <w:sz w:val="20"/>
              </w:rPr>
              <w:t>期</w:t>
            </w:r>
            <w:r>
              <w:rPr>
                <w:rFonts w:eastAsia="黑体"/>
                <w:color w:val="auto"/>
                <w:sz w:val="20"/>
              </w:rPr>
              <w:t xml:space="preserve">  </w:t>
            </w:r>
            <w:r>
              <w:rPr>
                <w:rFonts w:hint="eastAsia" w:eastAsia="黑体"/>
                <w:color w:val="auto"/>
                <w:sz w:val="20"/>
              </w:rPr>
              <w:t>限</w:t>
            </w:r>
          </w:p>
        </w:tc>
        <w:tc>
          <w:tcPr>
            <w:tcW w:w="1591" w:type="dxa"/>
            <w:noWrap w:val="0"/>
            <w:vAlign w:val="center"/>
          </w:tcPr>
          <w:p w14:paraId="6741BBF2">
            <w:pPr>
              <w:keepNext w:val="0"/>
              <w:keepLines w:val="0"/>
              <w:pageBreakBefore w:val="0"/>
              <w:kinsoku/>
              <w:wordWrap/>
              <w:overflowPunct/>
              <w:topLinePunct w:val="0"/>
              <w:autoSpaceDE/>
              <w:autoSpaceDN/>
              <w:bidi w:val="0"/>
              <w:adjustRightInd/>
              <w:snapToGrid/>
              <w:spacing w:line="400" w:lineRule="exact"/>
              <w:jc w:val="center"/>
              <w:textAlignment w:val="auto"/>
              <w:rPr>
                <w:rFonts w:eastAsia="黑体"/>
                <w:color w:val="auto"/>
                <w:sz w:val="20"/>
              </w:rPr>
            </w:pPr>
            <w:r>
              <w:rPr>
                <w:rFonts w:hint="eastAsia" w:eastAsia="黑体"/>
                <w:color w:val="auto"/>
                <w:sz w:val="20"/>
              </w:rPr>
              <w:t>金额</w:t>
            </w:r>
            <w:r>
              <w:rPr>
                <w:rFonts w:hint="eastAsia"/>
                <w:color w:val="auto"/>
                <w:sz w:val="20"/>
              </w:rPr>
              <w:t>（元）</w:t>
            </w:r>
          </w:p>
        </w:tc>
        <w:tc>
          <w:tcPr>
            <w:tcW w:w="584" w:type="dxa"/>
            <w:noWrap w:val="0"/>
            <w:vAlign w:val="center"/>
          </w:tcPr>
          <w:p w14:paraId="6BF6B7E2">
            <w:pPr>
              <w:keepNext w:val="0"/>
              <w:keepLines w:val="0"/>
              <w:pageBreakBefore w:val="0"/>
              <w:kinsoku/>
              <w:wordWrap/>
              <w:overflowPunct/>
              <w:topLinePunct w:val="0"/>
              <w:autoSpaceDE/>
              <w:autoSpaceDN/>
              <w:bidi w:val="0"/>
              <w:adjustRightInd/>
              <w:snapToGrid/>
              <w:spacing w:line="400" w:lineRule="exact"/>
              <w:ind w:firstLine="33"/>
              <w:jc w:val="center"/>
              <w:textAlignment w:val="auto"/>
              <w:rPr>
                <w:rFonts w:eastAsia="黑体"/>
                <w:color w:val="auto"/>
                <w:sz w:val="20"/>
              </w:rPr>
            </w:pPr>
            <w:r>
              <w:rPr>
                <w:rFonts w:hint="eastAsia" w:eastAsia="黑体"/>
                <w:color w:val="auto"/>
                <w:sz w:val="20"/>
              </w:rPr>
              <w:t>序号</w:t>
            </w:r>
          </w:p>
        </w:tc>
        <w:tc>
          <w:tcPr>
            <w:tcW w:w="2410" w:type="dxa"/>
            <w:noWrap w:val="0"/>
            <w:vAlign w:val="center"/>
          </w:tcPr>
          <w:p w14:paraId="77E24AEA">
            <w:pPr>
              <w:keepNext w:val="0"/>
              <w:keepLines w:val="0"/>
              <w:pageBreakBefore w:val="0"/>
              <w:kinsoku/>
              <w:wordWrap/>
              <w:overflowPunct/>
              <w:topLinePunct w:val="0"/>
              <w:autoSpaceDE/>
              <w:autoSpaceDN/>
              <w:bidi w:val="0"/>
              <w:adjustRightInd/>
              <w:snapToGrid/>
              <w:spacing w:line="400" w:lineRule="exact"/>
              <w:jc w:val="center"/>
              <w:textAlignment w:val="auto"/>
              <w:rPr>
                <w:rFonts w:eastAsia="黑体"/>
                <w:color w:val="auto"/>
                <w:sz w:val="20"/>
              </w:rPr>
            </w:pPr>
            <w:r>
              <w:rPr>
                <w:rFonts w:hint="eastAsia" w:eastAsia="黑体"/>
                <w:color w:val="auto"/>
                <w:sz w:val="20"/>
              </w:rPr>
              <w:t>支</w:t>
            </w:r>
            <w:r>
              <w:rPr>
                <w:rFonts w:eastAsia="黑体"/>
                <w:color w:val="auto"/>
                <w:sz w:val="20"/>
              </w:rPr>
              <w:t xml:space="preserve">  </w:t>
            </w:r>
            <w:r>
              <w:rPr>
                <w:rFonts w:hint="eastAsia" w:eastAsia="黑体"/>
                <w:color w:val="auto"/>
                <w:sz w:val="20"/>
              </w:rPr>
              <w:t>付</w:t>
            </w:r>
            <w:r>
              <w:rPr>
                <w:rFonts w:eastAsia="黑体"/>
                <w:color w:val="auto"/>
                <w:sz w:val="20"/>
              </w:rPr>
              <w:t xml:space="preserve">  </w:t>
            </w:r>
            <w:r>
              <w:rPr>
                <w:rFonts w:hint="eastAsia" w:eastAsia="黑体"/>
                <w:color w:val="auto"/>
                <w:sz w:val="20"/>
              </w:rPr>
              <w:t>期</w:t>
            </w:r>
            <w:r>
              <w:rPr>
                <w:rFonts w:eastAsia="黑体"/>
                <w:color w:val="auto"/>
                <w:sz w:val="20"/>
              </w:rPr>
              <w:t xml:space="preserve">  </w:t>
            </w:r>
            <w:r>
              <w:rPr>
                <w:rFonts w:hint="eastAsia" w:eastAsia="黑体"/>
                <w:color w:val="auto"/>
                <w:sz w:val="20"/>
              </w:rPr>
              <w:t>限</w:t>
            </w:r>
          </w:p>
        </w:tc>
        <w:tc>
          <w:tcPr>
            <w:tcW w:w="1593" w:type="dxa"/>
            <w:noWrap w:val="0"/>
            <w:vAlign w:val="center"/>
          </w:tcPr>
          <w:p w14:paraId="61F78BB5">
            <w:pPr>
              <w:keepNext w:val="0"/>
              <w:keepLines w:val="0"/>
              <w:pageBreakBefore w:val="0"/>
              <w:kinsoku/>
              <w:wordWrap/>
              <w:overflowPunct/>
              <w:topLinePunct w:val="0"/>
              <w:autoSpaceDE/>
              <w:autoSpaceDN/>
              <w:bidi w:val="0"/>
              <w:adjustRightInd/>
              <w:snapToGrid/>
              <w:spacing w:line="400" w:lineRule="exact"/>
              <w:jc w:val="center"/>
              <w:textAlignment w:val="auto"/>
              <w:rPr>
                <w:rFonts w:eastAsia="黑体"/>
                <w:color w:val="auto"/>
                <w:sz w:val="20"/>
              </w:rPr>
            </w:pPr>
            <w:r>
              <w:rPr>
                <w:rFonts w:hint="eastAsia" w:eastAsia="黑体"/>
                <w:color w:val="auto"/>
                <w:sz w:val="20"/>
              </w:rPr>
              <w:t>金额</w:t>
            </w:r>
            <w:r>
              <w:rPr>
                <w:rFonts w:hint="eastAsia"/>
                <w:color w:val="auto"/>
                <w:sz w:val="20"/>
              </w:rPr>
              <w:t>（元）</w:t>
            </w:r>
          </w:p>
        </w:tc>
      </w:tr>
      <w:tr w14:paraId="4B9FE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85" w:type="dxa"/>
            <w:noWrap w:val="0"/>
            <w:vAlign w:val="center"/>
          </w:tcPr>
          <w:p w14:paraId="72331F4B">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rPr>
            </w:pPr>
            <w:r>
              <w:rPr>
                <w:rFonts w:hint="default" w:ascii="Times New Roman" w:hAnsi="Times New Roman" w:cs="Times New Roman"/>
                <w:color w:val="auto"/>
                <w:sz w:val="20"/>
              </w:rPr>
              <w:t>1</w:t>
            </w:r>
          </w:p>
        </w:tc>
        <w:tc>
          <w:tcPr>
            <w:tcW w:w="2411" w:type="dxa"/>
            <w:noWrap w:val="0"/>
            <w:vAlign w:val="center"/>
          </w:tcPr>
          <w:p w14:paraId="001F6EC6">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2025.6.23-2025.9.22</w:t>
            </w:r>
          </w:p>
        </w:tc>
        <w:tc>
          <w:tcPr>
            <w:tcW w:w="1591" w:type="dxa"/>
            <w:noWrap w:val="0"/>
            <w:vAlign w:val="center"/>
          </w:tcPr>
          <w:p w14:paraId="658F5E3A">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szCs w:val="22"/>
                <w:lang w:val="en-US" w:eastAsia="zh-CN"/>
              </w:rPr>
            </w:pPr>
          </w:p>
        </w:tc>
        <w:tc>
          <w:tcPr>
            <w:tcW w:w="584" w:type="dxa"/>
            <w:noWrap w:val="0"/>
            <w:vAlign w:val="center"/>
          </w:tcPr>
          <w:p w14:paraId="456E5DF1">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2</w:t>
            </w:r>
          </w:p>
        </w:tc>
        <w:tc>
          <w:tcPr>
            <w:tcW w:w="2410" w:type="dxa"/>
            <w:noWrap w:val="0"/>
            <w:vAlign w:val="center"/>
          </w:tcPr>
          <w:p w14:paraId="59C845FB">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2025.9.23-2025.12.22</w:t>
            </w:r>
          </w:p>
        </w:tc>
        <w:tc>
          <w:tcPr>
            <w:tcW w:w="1593" w:type="dxa"/>
            <w:noWrap w:val="0"/>
            <w:vAlign w:val="center"/>
          </w:tcPr>
          <w:p w14:paraId="6900C34A">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color w:val="auto"/>
                <w:sz w:val="20"/>
                <w:szCs w:val="22"/>
                <w:lang w:val="en-US" w:eastAsia="zh-CN"/>
              </w:rPr>
            </w:pPr>
          </w:p>
        </w:tc>
      </w:tr>
      <w:tr w14:paraId="48E54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85" w:type="dxa"/>
            <w:noWrap w:val="0"/>
            <w:vAlign w:val="center"/>
          </w:tcPr>
          <w:p w14:paraId="3AD97EBB">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eastAsia="宋体" w:cs="Times New Roman"/>
                <w:color w:val="auto"/>
                <w:sz w:val="20"/>
                <w:lang w:val="en-US" w:eastAsia="zh-CN"/>
              </w:rPr>
            </w:pPr>
            <w:r>
              <w:rPr>
                <w:rFonts w:hint="default" w:ascii="Times New Roman" w:hAnsi="Times New Roman" w:cs="Times New Roman"/>
                <w:color w:val="auto"/>
                <w:sz w:val="20"/>
                <w:lang w:val="en-US" w:eastAsia="zh-CN"/>
              </w:rPr>
              <w:t>3</w:t>
            </w:r>
          </w:p>
        </w:tc>
        <w:tc>
          <w:tcPr>
            <w:tcW w:w="2411" w:type="dxa"/>
            <w:noWrap w:val="0"/>
            <w:vAlign w:val="center"/>
          </w:tcPr>
          <w:p w14:paraId="4CDD3873">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2025.12.23-2026.3.22</w:t>
            </w:r>
          </w:p>
        </w:tc>
        <w:tc>
          <w:tcPr>
            <w:tcW w:w="1591" w:type="dxa"/>
            <w:noWrap w:val="0"/>
            <w:vAlign w:val="center"/>
          </w:tcPr>
          <w:p w14:paraId="7B5E445B">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szCs w:val="22"/>
                <w:lang w:val="en-US" w:eastAsia="zh-CN"/>
              </w:rPr>
            </w:pPr>
          </w:p>
        </w:tc>
        <w:tc>
          <w:tcPr>
            <w:tcW w:w="584" w:type="dxa"/>
            <w:noWrap w:val="0"/>
            <w:vAlign w:val="center"/>
          </w:tcPr>
          <w:p w14:paraId="02580AAB">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4</w:t>
            </w:r>
          </w:p>
        </w:tc>
        <w:tc>
          <w:tcPr>
            <w:tcW w:w="2410" w:type="dxa"/>
            <w:noWrap w:val="0"/>
            <w:vAlign w:val="center"/>
          </w:tcPr>
          <w:p w14:paraId="493AD973">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2026.3.23-2026.6.22</w:t>
            </w:r>
          </w:p>
        </w:tc>
        <w:tc>
          <w:tcPr>
            <w:tcW w:w="1593" w:type="dxa"/>
            <w:noWrap w:val="0"/>
            <w:vAlign w:val="center"/>
          </w:tcPr>
          <w:p w14:paraId="44F64682">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color w:val="auto"/>
                <w:sz w:val="20"/>
                <w:szCs w:val="22"/>
                <w:lang w:val="en-US" w:eastAsia="zh-CN"/>
              </w:rPr>
            </w:pPr>
          </w:p>
        </w:tc>
      </w:tr>
      <w:tr w14:paraId="1B533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85" w:type="dxa"/>
            <w:noWrap w:val="0"/>
            <w:vAlign w:val="center"/>
          </w:tcPr>
          <w:p w14:paraId="449A35F6">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lang w:val="en-US" w:eastAsia="zh-CN"/>
              </w:rPr>
            </w:pPr>
            <w:r>
              <w:rPr>
                <w:rFonts w:hint="default" w:ascii="Times New Roman" w:hAnsi="Times New Roman" w:cs="Times New Roman"/>
                <w:color w:val="auto"/>
                <w:sz w:val="20"/>
                <w:lang w:val="en-US" w:eastAsia="zh-CN"/>
              </w:rPr>
              <w:t>5</w:t>
            </w:r>
          </w:p>
        </w:tc>
        <w:tc>
          <w:tcPr>
            <w:tcW w:w="2411" w:type="dxa"/>
            <w:noWrap w:val="0"/>
            <w:vAlign w:val="center"/>
          </w:tcPr>
          <w:p w14:paraId="494FD489">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2026.6.23-2026.9.22</w:t>
            </w:r>
          </w:p>
        </w:tc>
        <w:tc>
          <w:tcPr>
            <w:tcW w:w="1591" w:type="dxa"/>
            <w:noWrap w:val="0"/>
            <w:vAlign w:val="center"/>
          </w:tcPr>
          <w:p w14:paraId="3D8A9245">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p>
        </w:tc>
        <w:tc>
          <w:tcPr>
            <w:tcW w:w="584" w:type="dxa"/>
            <w:noWrap w:val="0"/>
            <w:vAlign w:val="center"/>
          </w:tcPr>
          <w:p w14:paraId="13C0FD96">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6</w:t>
            </w:r>
          </w:p>
        </w:tc>
        <w:tc>
          <w:tcPr>
            <w:tcW w:w="2410" w:type="dxa"/>
            <w:noWrap w:val="0"/>
            <w:vAlign w:val="center"/>
          </w:tcPr>
          <w:p w14:paraId="3C469CD7">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2026.9.23-2026.12.22</w:t>
            </w:r>
          </w:p>
        </w:tc>
        <w:tc>
          <w:tcPr>
            <w:tcW w:w="1593" w:type="dxa"/>
            <w:noWrap w:val="0"/>
            <w:vAlign w:val="center"/>
          </w:tcPr>
          <w:p w14:paraId="2CF58FEB">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eastAsia"/>
                <w:color w:val="auto"/>
                <w:kern w:val="2"/>
                <w:sz w:val="20"/>
                <w:szCs w:val="22"/>
                <w:lang w:val="en-US" w:eastAsia="zh-CN" w:bidi="ar-SA"/>
              </w:rPr>
            </w:pPr>
          </w:p>
        </w:tc>
      </w:tr>
      <w:tr w14:paraId="1C10B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85" w:type="dxa"/>
            <w:noWrap w:val="0"/>
            <w:vAlign w:val="center"/>
          </w:tcPr>
          <w:p w14:paraId="494AD152">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lang w:val="en-US" w:eastAsia="zh-CN"/>
              </w:rPr>
            </w:pPr>
            <w:r>
              <w:rPr>
                <w:rFonts w:hint="default" w:ascii="Times New Roman" w:hAnsi="Times New Roman" w:cs="Times New Roman"/>
                <w:color w:val="auto"/>
                <w:sz w:val="20"/>
                <w:lang w:val="en-US" w:eastAsia="zh-CN"/>
              </w:rPr>
              <w:t>7</w:t>
            </w:r>
          </w:p>
        </w:tc>
        <w:tc>
          <w:tcPr>
            <w:tcW w:w="2411" w:type="dxa"/>
            <w:noWrap w:val="0"/>
            <w:vAlign w:val="center"/>
          </w:tcPr>
          <w:p w14:paraId="314D295A">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2026.12.23-2027.3.22</w:t>
            </w:r>
          </w:p>
        </w:tc>
        <w:tc>
          <w:tcPr>
            <w:tcW w:w="1591" w:type="dxa"/>
            <w:noWrap w:val="0"/>
            <w:vAlign w:val="center"/>
          </w:tcPr>
          <w:p w14:paraId="725D35FA">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p>
        </w:tc>
        <w:tc>
          <w:tcPr>
            <w:tcW w:w="584" w:type="dxa"/>
            <w:noWrap w:val="0"/>
            <w:vAlign w:val="center"/>
          </w:tcPr>
          <w:p w14:paraId="020BCFDD">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8</w:t>
            </w:r>
          </w:p>
        </w:tc>
        <w:tc>
          <w:tcPr>
            <w:tcW w:w="2410" w:type="dxa"/>
            <w:noWrap w:val="0"/>
            <w:vAlign w:val="center"/>
          </w:tcPr>
          <w:p w14:paraId="58B97F11">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2027.3.23-2027.6.22</w:t>
            </w:r>
          </w:p>
        </w:tc>
        <w:tc>
          <w:tcPr>
            <w:tcW w:w="1593" w:type="dxa"/>
            <w:noWrap w:val="0"/>
            <w:vAlign w:val="center"/>
          </w:tcPr>
          <w:p w14:paraId="379BC45A">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eastAsia"/>
                <w:color w:val="auto"/>
                <w:kern w:val="2"/>
                <w:sz w:val="20"/>
                <w:szCs w:val="22"/>
                <w:lang w:val="en-US" w:eastAsia="zh-CN" w:bidi="ar-SA"/>
              </w:rPr>
            </w:pPr>
          </w:p>
        </w:tc>
      </w:tr>
      <w:tr w14:paraId="21F03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85" w:type="dxa"/>
            <w:noWrap w:val="0"/>
            <w:vAlign w:val="center"/>
          </w:tcPr>
          <w:p w14:paraId="341E369E">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lang w:val="en-US" w:eastAsia="zh-CN"/>
              </w:rPr>
            </w:pPr>
            <w:r>
              <w:rPr>
                <w:rFonts w:hint="default" w:ascii="Times New Roman" w:hAnsi="Times New Roman" w:cs="Times New Roman"/>
                <w:color w:val="auto"/>
                <w:sz w:val="20"/>
                <w:lang w:val="en-US" w:eastAsia="zh-CN"/>
              </w:rPr>
              <w:t>9</w:t>
            </w:r>
          </w:p>
        </w:tc>
        <w:tc>
          <w:tcPr>
            <w:tcW w:w="2411" w:type="dxa"/>
            <w:noWrap w:val="0"/>
            <w:vAlign w:val="center"/>
          </w:tcPr>
          <w:p w14:paraId="320DC18F">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2027.6.23-2027.9.22</w:t>
            </w:r>
          </w:p>
        </w:tc>
        <w:tc>
          <w:tcPr>
            <w:tcW w:w="1591" w:type="dxa"/>
            <w:noWrap w:val="0"/>
            <w:vAlign w:val="center"/>
          </w:tcPr>
          <w:p w14:paraId="57C419BC">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p>
        </w:tc>
        <w:tc>
          <w:tcPr>
            <w:tcW w:w="584" w:type="dxa"/>
            <w:noWrap w:val="0"/>
            <w:vAlign w:val="center"/>
          </w:tcPr>
          <w:p w14:paraId="22329D9D">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10</w:t>
            </w:r>
          </w:p>
        </w:tc>
        <w:tc>
          <w:tcPr>
            <w:tcW w:w="2410" w:type="dxa"/>
            <w:noWrap w:val="0"/>
            <w:vAlign w:val="center"/>
          </w:tcPr>
          <w:p w14:paraId="727ED18F">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2027.9.23-2027.12.22</w:t>
            </w:r>
          </w:p>
        </w:tc>
        <w:tc>
          <w:tcPr>
            <w:tcW w:w="1593" w:type="dxa"/>
            <w:noWrap w:val="0"/>
            <w:vAlign w:val="center"/>
          </w:tcPr>
          <w:p w14:paraId="1A140198">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eastAsia"/>
                <w:color w:val="auto"/>
                <w:kern w:val="2"/>
                <w:sz w:val="20"/>
                <w:szCs w:val="22"/>
                <w:lang w:val="en-US" w:eastAsia="zh-CN" w:bidi="ar-SA"/>
              </w:rPr>
            </w:pPr>
          </w:p>
        </w:tc>
      </w:tr>
      <w:tr w14:paraId="7ACD8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85" w:type="dxa"/>
            <w:noWrap w:val="0"/>
            <w:vAlign w:val="center"/>
          </w:tcPr>
          <w:p w14:paraId="533D85FA">
            <w:pPr>
              <w:keepNext w:val="0"/>
              <w:keepLines w:val="0"/>
              <w:pageBreakBefore w:val="0"/>
              <w:kinsoku/>
              <w:wordWrap/>
              <w:overflowPunct/>
              <w:topLinePunct w:val="0"/>
              <w:autoSpaceDE/>
              <w:autoSpaceDN/>
              <w:bidi w:val="0"/>
              <w:adjustRightInd/>
              <w:snapToGrid/>
              <w:spacing w:line="400" w:lineRule="exact"/>
              <w:ind w:left="-57" w:right="-105"/>
              <w:jc w:val="center"/>
              <w:textAlignment w:val="auto"/>
              <w:rPr>
                <w:rFonts w:hint="default" w:ascii="Times New Roman" w:hAnsi="Times New Roman" w:cs="Times New Roman"/>
                <w:color w:val="auto"/>
                <w:sz w:val="20"/>
                <w:lang w:val="en-US" w:eastAsia="zh-CN"/>
              </w:rPr>
            </w:pPr>
            <w:r>
              <w:rPr>
                <w:rFonts w:hint="default" w:ascii="Times New Roman" w:hAnsi="Times New Roman" w:cs="Times New Roman"/>
                <w:color w:val="auto"/>
                <w:sz w:val="20"/>
                <w:lang w:val="en-US" w:eastAsia="zh-CN"/>
              </w:rPr>
              <w:t>11</w:t>
            </w:r>
          </w:p>
        </w:tc>
        <w:tc>
          <w:tcPr>
            <w:tcW w:w="2411" w:type="dxa"/>
            <w:noWrap w:val="0"/>
            <w:vAlign w:val="center"/>
          </w:tcPr>
          <w:p w14:paraId="087290BF">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2027.12.23-2028.3.22</w:t>
            </w:r>
          </w:p>
        </w:tc>
        <w:tc>
          <w:tcPr>
            <w:tcW w:w="1591" w:type="dxa"/>
            <w:noWrap w:val="0"/>
            <w:vAlign w:val="center"/>
          </w:tcPr>
          <w:p w14:paraId="781B904B">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p>
        </w:tc>
        <w:tc>
          <w:tcPr>
            <w:tcW w:w="584" w:type="dxa"/>
            <w:noWrap w:val="0"/>
            <w:vAlign w:val="center"/>
          </w:tcPr>
          <w:p w14:paraId="4AFEE442">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12</w:t>
            </w:r>
          </w:p>
        </w:tc>
        <w:tc>
          <w:tcPr>
            <w:tcW w:w="2410" w:type="dxa"/>
            <w:noWrap w:val="0"/>
            <w:vAlign w:val="center"/>
          </w:tcPr>
          <w:p w14:paraId="587BC6C7">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2028.3.23-2028.6.22</w:t>
            </w:r>
          </w:p>
        </w:tc>
        <w:tc>
          <w:tcPr>
            <w:tcW w:w="1593" w:type="dxa"/>
            <w:noWrap w:val="0"/>
            <w:vAlign w:val="center"/>
          </w:tcPr>
          <w:p w14:paraId="372AFF03">
            <w:pPr>
              <w:keepNext w:val="0"/>
              <w:keepLines w:val="0"/>
              <w:pageBreakBefore w:val="0"/>
              <w:kinsoku/>
              <w:wordWrap/>
              <w:overflowPunct/>
              <w:topLinePunct w:val="0"/>
              <w:autoSpaceDE/>
              <w:autoSpaceDN/>
              <w:bidi w:val="0"/>
              <w:adjustRightInd/>
              <w:snapToGrid/>
              <w:spacing w:line="400" w:lineRule="exact"/>
              <w:ind w:left="-57" w:leftChars="0" w:right="-105" w:rightChars="0"/>
              <w:jc w:val="center"/>
              <w:textAlignment w:val="auto"/>
              <w:rPr>
                <w:rFonts w:hint="eastAsia"/>
                <w:color w:val="auto"/>
                <w:kern w:val="2"/>
                <w:sz w:val="20"/>
                <w:szCs w:val="22"/>
                <w:lang w:val="en-US" w:eastAsia="zh-CN" w:bidi="ar-SA"/>
              </w:rPr>
            </w:pPr>
          </w:p>
        </w:tc>
      </w:tr>
    </w:tbl>
    <w:p w14:paraId="79C83A5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default" w:ascii="Times New Roman" w:hAnsi="Times New Roman" w:eastAsia="方正黑体_GBK" w:cs="Times New Roman"/>
          <w:color w:val="auto"/>
          <w:sz w:val="24"/>
          <w:szCs w:val="24"/>
          <w:lang w:val="en-US" w:eastAsia="zh-CN"/>
        </w:rPr>
        <w:t>2.</w:t>
      </w:r>
      <w:r>
        <w:rPr>
          <w:rFonts w:hint="eastAsia" w:ascii="方正仿宋_GBK" w:hAnsi="方正仿宋_GBK" w:eastAsia="方正仿宋_GBK" w:cs="方正仿宋_GBK"/>
          <w:color w:val="auto"/>
          <w:sz w:val="24"/>
          <w:szCs w:val="24"/>
        </w:rPr>
        <w:t>甲方需购置</w:t>
      </w:r>
      <w:r>
        <w:rPr>
          <w:rFonts w:hint="eastAsia" w:ascii="方正仿宋_GBK" w:hAnsi="方正仿宋_GBK" w:eastAsia="方正仿宋_GBK" w:cs="方正仿宋_GBK"/>
          <w:color w:val="auto"/>
          <w:sz w:val="24"/>
          <w:szCs w:val="24"/>
          <w:lang w:val="en-US" w:eastAsia="zh-CN"/>
        </w:rPr>
        <w:t>更换或维修</w:t>
      </w:r>
      <w:r>
        <w:rPr>
          <w:rFonts w:hint="default" w:ascii="Times New Roman" w:hAnsi="Times New Roman" w:eastAsia="方正仿宋_GBK" w:cs="Times New Roman"/>
          <w:color w:val="auto"/>
          <w:sz w:val="24"/>
          <w:szCs w:val="24"/>
          <w:lang w:val="en-US" w:eastAsia="zh-CN"/>
        </w:rPr>
        <w:t>200</w:t>
      </w:r>
      <w:r>
        <w:rPr>
          <w:rFonts w:hint="eastAsia" w:ascii="方正仿宋_GBK" w:hAnsi="方正仿宋_GBK" w:eastAsia="方正仿宋_GBK" w:cs="方正仿宋_GBK"/>
          <w:color w:val="auto"/>
          <w:sz w:val="24"/>
          <w:szCs w:val="24"/>
          <w:lang w:val="en-US" w:eastAsia="zh-CN"/>
        </w:rPr>
        <w:t>元以上</w:t>
      </w:r>
      <w:r>
        <w:rPr>
          <w:rFonts w:hint="eastAsia" w:ascii="方正仿宋_GBK" w:hAnsi="方正仿宋_GBK" w:eastAsia="方正仿宋_GBK" w:cs="方正仿宋_GBK"/>
          <w:color w:val="auto"/>
          <w:sz w:val="24"/>
          <w:szCs w:val="24"/>
        </w:rPr>
        <w:t>的零部件，费用应在更换前以</w:t>
      </w:r>
      <w:r>
        <w:rPr>
          <w:rFonts w:hint="eastAsia" w:ascii="方正仿宋_GBK" w:hAnsi="方正仿宋_GBK" w:eastAsia="方正仿宋_GBK" w:cs="方正仿宋_GBK"/>
          <w:color w:val="auto"/>
          <w:sz w:val="24"/>
          <w:szCs w:val="24"/>
        </w:rPr>
        <w:t>同一支付方式一次性付给乙方。</w:t>
      </w:r>
    </w:p>
    <w:p w14:paraId="20DD055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auto"/>
          <w:kern w:val="0"/>
          <w:sz w:val="24"/>
        </w:rPr>
      </w:pPr>
      <w:r>
        <w:rPr>
          <w:rFonts w:hint="eastAsia" w:ascii="方正黑体_GBK" w:hAnsi="方正黑体_GBK" w:eastAsia="方正黑体_GBK" w:cs="方正黑体_GBK"/>
          <w:color w:val="auto"/>
          <w:sz w:val="24"/>
          <w:szCs w:val="24"/>
        </w:rPr>
        <w:t>四、</w:t>
      </w:r>
      <w:r>
        <w:rPr>
          <w:rFonts w:hint="eastAsia" w:ascii="方正黑体_GBK" w:hAnsi="方正黑体_GBK" w:eastAsia="方正黑体_GBK" w:cs="方正黑体_GBK"/>
          <w:color w:val="auto"/>
          <w:kern w:val="0"/>
          <w:sz w:val="24"/>
        </w:rPr>
        <w:t>乙方</w:t>
      </w:r>
      <w:r>
        <w:rPr>
          <w:rFonts w:hint="eastAsia" w:ascii="方正黑体_GBK" w:hAnsi="方正黑体_GBK" w:eastAsia="方正黑体_GBK" w:cs="方正黑体_GBK"/>
          <w:color w:val="auto"/>
          <w:kern w:val="0"/>
          <w:sz w:val="24"/>
          <w:lang w:val="en-US" w:eastAsia="zh-CN"/>
        </w:rPr>
        <w:t>维修</w:t>
      </w:r>
      <w:r>
        <w:rPr>
          <w:rFonts w:hint="eastAsia" w:ascii="方正黑体_GBK" w:hAnsi="方正黑体_GBK" w:eastAsia="方正黑体_GBK" w:cs="方正黑体_GBK"/>
          <w:color w:val="auto"/>
          <w:kern w:val="0"/>
          <w:sz w:val="24"/>
        </w:rPr>
        <w:t>服务响应时间</w:t>
      </w:r>
    </w:p>
    <w:p w14:paraId="5B620FC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乙方应设立24小时专业维保人员值班，值班电话必须确保畅通，保证接到故障通知后及时给予排除，接到电梯困人故障报告后，维修人员及时抵达维保电梯所在地实施现场救援，抵达</w:t>
      </w:r>
      <w:r>
        <w:rPr>
          <w:rFonts w:hint="default" w:ascii="Times New Roman" w:hAnsi="Times New Roman" w:eastAsia="方正仿宋_GBK" w:cs="Times New Roman"/>
          <w:color w:val="auto"/>
          <w:kern w:val="0"/>
          <w:sz w:val="24"/>
          <w:lang w:val="en-US" w:eastAsia="zh-CN"/>
        </w:rPr>
        <w:t>现场</w:t>
      </w:r>
      <w:r>
        <w:rPr>
          <w:rFonts w:hint="default" w:ascii="Times New Roman" w:hAnsi="Times New Roman" w:eastAsia="方正仿宋_GBK" w:cs="Times New Roman"/>
          <w:color w:val="auto"/>
          <w:kern w:val="0"/>
          <w:sz w:val="24"/>
        </w:rPr>
        <w:t>时间不超过30分钟（以甲方通知时间为起止时间）</w:t>
      </w:r>
      <w:r>
        <w:rPr>
          <w:rFonts w:hint="default" w:ascii="Times New Roman" w:hAnsi="Times New Roman" w:eastAsia="方正仿宋_GBK" w:cs="Times New Roman"/>
          <w:color w:val="auto"/>
          <w:kern w:val="0"/>
          <w:sz w:val="24"/>
          <w:lang w:eastAsia="zh-CN"/>
        </w:rPr>
        <w:t>；</w:t>
      </w:r>
      <w:r>
        <w:rPr>
          <w:rFonts w:hint="default" w:ascii="Times New Roman" w:hAnsi="Times New Roman" w:eastAsia="方正仿宋_GBK" w:cs="Times New Roman"/>
          <w:color w:val="auto"/>
          <w:kern w:val="0"/>
          <w:sz w:val="24"/>
          <w:lang w:val="en-US" w:eastAsia="zh-CN"/>
        </w:rPr>
        <w:t>接到一般故障通知后抵达现场时间不超过1小时</w:t>
      </w:r>
      <w:r>
        <w:rPr>
          <w:rFonts w:hint="default" w:ascii="Times New Roman" w:hAnsi="Times New Roman" w:eastAsia="方正仿宋_GBK" w:cs="Times New Roman"/>
          <w:color w:val="auto"/>
          <w:kern w:val="0"/>
          <w:sz w:val="24"/>
        </w:rPr>
        <w:t>。</w:t>
      </w:r>
    </w:p>
    <w:p w14:paraId="1EDCD5D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黑体_GBK" w:hAnsi="方正黑体_GBK" w:eastAsia="方正黑体_GBK" w:cs="方正黑体_GBK"/>
          <w:color w:val="auto"/>
          <w:sz w:val="24"/>
          <w:szCs w:val="24"/>
        </w:rPr>
        <w:t>五、</w:t>
      </w:r>
      <w:r>
        <w:rPr>
          <w:rFonts w:hint="eastAsia" w:ascii="方正黑体_GBK" w:hAnsi="方正黑体_GBK" w:eastAsia="方正黑体_GBK" w:cs="方正黑体_GBK"/>
          <w:color w:val="auto"/>
          <w:sz w:val="24"/>
          <w:szCs w:val="24"/>
          <w:lang w:val="en-US" w:eastAsia="zh-CN"/>
        </w:rPr>
        <w:t>服务质量</w:t>
      </w:r>
    </w:p>
    <w:p w14:paraId="1403E57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Times New Roman" w:hAnsi="Times New Roman" w:eastAsia="方正仿宋_GBK" w:cs="Times New Roman"/>
          <w:color w:val="auto"/>
          <w:sz w:val="24"/>
          <w:szCs w:val="24"/>
          <w:lang w:val="en-US" w:eastAsia="zh-CN"/>
        </w:rPr>
        <w:t>按照公开比选文件中第四部分第二条（</w:t>
      </w:r>
      <w:r>
        <w:rPr>
          <w:rFonts w:hint="eastAsia" w:ascii="方正仿宋_GBK" w:hAnsi="方正仿宋_GBK" w:eastAsia="方正仿宋_GBK" w:cs="方正仿宋_GBK"/>
          <w:b w:val="0"/>
          <w:bCs/>
          <w:color w:val="auto"/>
          <w:sz w:val="24"/>
          <w:szCs w:val="24"/>
          <w:lang w:val="en-US" w:eastAsia="zh-CN"/>
        </w:rPr>
        <w:t>维保</w:t>
      </w:r>
      <w:r>
        <w:rPr>
          <w:rFonts w:hint="eastAsia" w:ascii="方正仿宋_GBK" w:hAnsi="方正仿宋_GBK" w:eastAsia="方正仿宋_GBK" w:cs="方正仿宋_GBK"/>
          <w:b w:val="0"/>
          <w:bCs/>
          <w:color w:val="auto"/>
          <w:kern w:val="0"/>
          <w:sz w:val="24"/>
          <w:szCs w:val="24"/>
        </w:rPr>
        <w:t>服务内容及</w:t>
      </w:r>
      <w:r>
        <w:rPr>
          <w:rFonts w:hint="eastAsia" w:ascii="方正仿宋_GBK" w:hAnsi="方正仿宋_GBK" w:eastAsia="方正仿宋_GBK" w:cs="方正仿宋_GBK"/>
          <w:b w:val="0"/>
          <w:bCs/>
          <w:color w:val="auto"/>
          <w:kern w:val="0"/>
          <w:sz w:val="24"/>
          <w:szCs w:val="24"/>
          <w:lang w:val="en-US" w:eastAsia="zh-CN"/>
        </w:rPr>
        <w:t>维保工作</w:t>
      </w:r>
      <w:r>
        <w:rPr>
          <w:rFonts w:hint="eastAsia" w:ascii="方正仿宋_GBK" w:hAnsi="方正仿宋_GBK" w:eastAsia="方正仿宋_GBK" w:cs="方正仿宋_GBK"/>
          <w:b w:val="0"/>
          <w:bCs/>
          <w:color w:val="auto"/>
          <w:kern w:val="0"/>
          <w:sz w:val="24"/>
          <w:szCs w:val="24"/>
        </w:rPr>
        <w:t>标准</w:t>
      </w:r>
      <w:r>
        <w:rPr>
          <w:rFonts w:hint="eastAsia" w:ascii="Times New Roman" w:hAnsi="Times New Roman" w:eastAsia="方正仿宋_GBK" w:cs="Times New Roman"/>
          <w:color w:val="auto"/>
          <w:sz w:val="24"/>
          <w:szCs w:val="24"/>
          <w:lang w:val="en-US" w:eastAsia="zh-CN"/>
        </w:rPr>
        <w:t>）及电梯维护保养、电梯维修相关行业准则开展电梯维保工作。</w:t>
      </w:r>
    </w:p>
    <w:p w14:paraId="5994F35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方正黑体_GBK" w:hAnsi="方正黑体_GBK" w:eastAsia="方正黑体_GBK" w:cs="方正黑体_GBK"/>
          <w:bCs/>
          <w:color w:val="auto"/>
          <w:sz w:val="24"/>
          <w:szCs w:val="24"/>
          <w:lang w:val="en-US" w:eastAsia="zh-CN"/>
        </w:rPr>
      </w:pPr>
      <w:r>
        <w:rPr>
          <w:rFonts w:hint="eastAsia" w:ascii="方正黑体_GBK" w:hAnsi="方正黑体_GBK" w:eastAsia="方正黑体_GBK" w:cs="方正黑体_GBK"/>
          <w:bCs/>
          <w:color w:val="auto"/>
          <w:sz w:val="24"/>
          <w:szCs w:val="24"/>
          <w:lang w:val="en-US" w:eastAsia="zh-CN"/>
        </w:rPr>
        <w:t>六、权利和义务</w:t>
      </w:r>
    </w:p>
    <w:p w14:paraId="0C279F4E">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方正楷体_GBK" w:hAnsi="方正楷体_GBK" w:eastAsia="方正楷体_GBK" w:cs="方正楷体_GBK"/>
          <w:b/>
          <w:bCs w:val="0"/>
          <w:color w:val="auto"/>
          <w:sz w:val="24"/>
          <w:szCs w:val="24"/>
          <w:lang w:val="en-US" w:eastAsia="zh-CN"/>
        </w:rPr>
      </w:pPr>
      <w:r>
        <w:rPr>
          <w:rFonts w:hint="eastAsia" w:ascii="方正楷体_GBK" w:hAnsi="方正楷体_GBK" w:eastAsia="方正楷体_GBK" w:cs="方正楷体_GBK"/>
          <w:b/>
          <w:bCs w:val="0"/>
          <w:color w:val="auto"/>
          <w:sz w:val="24"/>
          <w:szCs w:val="24"/>
          <w:lang w:eastAsia="zh-CN"/>
        </w:rPr>
        <w:t>（</w:t>
      </w:r>
      <w:r>
        <w:rPr>
          <w:rFonts w:hint="eastAsia" w:ascii="方正楷体_GBK" w:hAnsi="方正楷体_GBK" w:eastAsia="方正楷体_GBK" w:cs="方正楷体_GBK"/>
          <w:b/>
          <w:bCs w:val="0"/>
          <w:color w:val="auto"/>
          <w:sz w:val="24"/>
          <w:szCs w:val="24"/>
          <w:lang w:val="en-US" w:eastAsia="zh-CN"/>
        </w:rPr>
        <w:t>一</w:t>
      </w:r>
      <w:r>
        <w:rPr>
          <w:rFonts w:hint="eastAsia" w:ascii="方正楷体_GBK" w:hAnsi="方正楷体_GBK" w:eastAsia="方正楷体_GBK" w:cs="方正楷体_GBK"/>
          <w:b/>
          <w:bCs w:val="0"/>
          <w:color w:val="auto"/>
          <w:sz w:val="24"/>
          <w:szCs w:val="24"/>
          <w:lang w:eastAsia="zh-CN"/>
        </w:rPr>
        <w:t>）</w:t>
      </w:r>
      <w:r>
        <w:rPr>
          <w:rFonts w:hint="eastAsia" w:ascii="方正楷体_GBK" w:hAnsi="方正楷体_GBK" w:eastAsia="方正楷体_GBK" w:cs="方正楷体_GBK"/>
          <w:b/>
          <w:bCs w:val="0"/>
          <w:color w:val="auto"/>
          <w:sz w:val="24"/>
          <w:szCs w:val="24"/>
          <w:lang w:val="en-US" w:eastAsia="zh-CN"/>
        </w:rPr>
        <w:t>甲方的权利和义务</w:t>
      </w:r>
    </w:p>
    <w:p w14:paraId="4160323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1.甲方应按电梯产品说明书所列操作规范，合理、安全、正确地使用，尽可能避免出现人为故意的损坏。</w:t>
      </w:r>
    </w:p>
    <w:p w14:paraId="5275C4E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2.尽可能为乙方人员提供有关保养、维修的各种方便，并根据保养任务清单确认乙方的保养行为。</w:t>
      </w:r>
    </w:p>
    <w:p w14:paraId="5B88373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3.甲方在设备使用过程中如发现故障或异常情况应及时通知乙方。</w:t>
      </w:r>
    </w:p>
    <w:p w14:paraId="63F7212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4.前述电梯及其附件均为甲方财产，应由甲方负责保管，乙方只负责执行一切有关的保养维修服务。</w:t>
      </w:r>
    </w:p>
    <w:p w14:paraId="6A571E1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5.甲方在没有收到乙方书面许可证明之前，必须拒绝任何非乙方人员做任何与设备保养维修有关的工作。</w:t>
      </w:r>
    </w:p>
    <w:p w14:paraId="3020982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6.甲方有权对乙方</w:t>
      </w:r>
      <w:r>
        <w:rPr>
          <w:rFonts w:hint="eastAsia" w:ascii="Times New Roman" w:hAnsi="Times New Roman" w:eastAsia="方正仿宋_GBK" w:cs="Times New Roman"/>
          <w:color w:val="auto"/>
          <w:sz w:val="24"/>
          <w:szCs w:val="24"/>
          <w:lang w:val="en-US" w:eastAsia="zh-CN"/>
        </w:rPr>
        <w:t>电梯维护保养</w:t>
      </w:r>
      <w:r>
        <w:rPr>
          <w:rFonts w:hint="default" w:ascii="Times New Roman" w:hAnsi="Times New Roman" w:eastAsia="方正仿宋_GBK" w:cs="Times New Roman"/>
          <w:color w:val="auto"/>
          <w:sz w:val="24"/>
          <w:szCs w:val="24"/>
          <w:lang w:val="en-US" w:eastAsia="zh-CN"/>
        </w:rPr>
        <w:t>服务出现的质量问题进行惩处和扣款。具体扣款按以下</w:t>
      </w:r>
      <w:r>
        <w:rPr>
          <w:rFonts w:hint="default" w:ascii="Times New Roman" w:hAnsi="Times New Roman" w:eastAsia="方正仿宋_GBK" w:cs="Times New Roman"/>
          <w:color w:val="auto"/>
          <w:sz w:val="24"/>
          <w:szCs w:val="24"/>
        </w:rPr>
        <w:t>月度</w:t>
      </w:r>
      <w:r>
        <w:rPr>
          <w:rFonts w:hint="default" w:ascii="Times New Roman" w:hAnsi="Times New Roman" w:eastAsia="方正仿宋_GBK" w:cs="Times New Roman"/>
          <w:color w:val="auto"/>
          <w:sz w:val="24"/>
          <w:szCs w:val="24"/>
          <w:lang w:val="en-US" w:eastAsia="zh-CN"/>
        </w:rPr>
        <w:t>检查</w:t>
      </w:r>
      <w:r>
        <w:rPr>
          <w:rFonts w:hint="default" w:ascii="Times New Roman" w:hAnsi="Times New Roman" w:eastAsia="方正仿宋_GBK" w:cs="Times New Roman"/>
          <w:color w:val="auto"/>
          <w:sz w:val="24"/>
          <w:szCs w:val="24"/>
        </w:rPr>
        <w:t>考核标准</w:t>
      </w:r>
      <w:r>
        <w:rPr>
          <w:rFonts w:hint="default" w:ascii="Times New Roman" w:hAnsi="Times New Roman" w:eastAsia="方正仿宋_GBK" w:cs="Times New Roman"/>
          <w:color w:val="auto"/>
          <w:sz w:val="24"/>
          <w:szCs w:val="24"/>
          <w:lang w:val="en-US" w:eastAsia="zh-CN"/>
        </w:rPr>
        <w:t>执行：</w:t>
      </w:r>
    </w:p>
    <w:p w14:paraId="6A0B835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每季度检查考核得分</w:t>
      </w:r>
      <w:r>
        <w:rPr>
          <w:rFonts w:hint="default" w:ascii="Times New Roman" w:hAnsi="Times New Roman" w:eastAsia="方正仿宋_GBK" w:cs="Times New Roman"/>
          <w:color w:val="auto"/>
          <w:sz w:val="24"/>
          <w:szCs w:val="24"/>
        </w:rPr>
        <w:t>9</w:t>
      </w: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分（含）以上不予以扣款，</w:t>
      </w:r>
      <w:r>
        <w:rPr>
          <w:rFonts w:hint="default" w:ascii="Times New Roman" w:hAnsi="Times New Roman" w:eastAsia="方正仿宋_GBK" w:cs="Times New Roman"/>
          <w:color w:val="auto"/>
          <w:sz w:val="24"/>
          <w:szCs w:val="24"/>
          <w:lang w:val="en-US" w:eastAsia="zh-CN"/>
        </w:rPr>
        <w:t>得分90</w:t>
      </w:r>
      <w:r>
        <w:rPr>
          <w:rFonts w:hint="default" w:ascii="Times New Roman" w:hAnsi="Times New Roman" w:eastAsia="方正仿宋_GBK" w:cs="Times New Roman"/>
          <w:color w:val="auto"/>
          <w:sz w:val="24"/>
          <w:szCs w:val="24"/>
        </w:rPr>
        <w:t>（含）-9</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分扣款200元，</w:t>
      </w:r>
      <w:r>
        <w:rPr>
          <w:rFonts w:hint="default" w:ascii="Times New Roman" w:hAnsi="Times New Roman" w:eastAsia="方正仿宋_GBK" w:cs="Times New Roman"/>
          <w:color w:val="auto"/>
          <w:sz w:val="24"/>
          <w:szCs w:val="24"/>
          <w:lang w:val="en-US" w:eastAsia="zh-CN"/>
        </w:rPr>
        <w:t>得分</w:t>
      </w:r>
      <w:r>
        <w:rPr>
          <w:rFonts w:hint="default" w:ascii="Times New Roman" w:hAnsi="Times New Roman" w:eastAsia="方正仿宋_GBK" w:cs="Times New Roman"/>
          <w:color w:val="auto"/>
          <w:sz w:val="24"/>
          <w:szCs w:val="24"/>
        </w:rPr>
        <w:t>8</w:t>
      </w: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（含）-</w:t>
      </w:r>
      <w:r>
        <w:rPr>
          <w:rFonts w:hint="default" w:ascii="Times New Roman" w:hAnsi="Times New Roman" w:eastAsia="方正仿宋_GBK" w:cs="Times New Roman"/>
          <w:color w:val="auto"/>
          <w:sz w:val="24"/>
          <w:szCs w:val="24"/>
          <w:lang w:val="en-US" w:eastAsia="zh-CN"/>
        </w:rPr>
        <w:t>89</w:t>
      </w:r>
      <w:r>
        <w:rPr>
          <w:rFonts w:hint="default" w:ascii="Times New Roman" w:hAnsi="Times New Roman" w:eastAsia="方正仿宋_GBK" w:cs="Times New Roman"/>
          <w:color w:val="auto"/>
          <w:sz w:val="24"/>
          <w:szCs w:val="24"/>
        </w:rPr>
        <w:t>分扣款500元，</w:t>
      </w:r>
      <w:r>
        <w:rPr>
          <w:rFonts w:hint="default" w:ascii="Times New Roman" w:hAnsi="Times New Roman" w:eastAsia="方正仿宋_GBK" w:cs="Times New Roman"/>
          <w:color w:val="auto"/>
          <w:sz w:val="24"/>
          <w:szCs w:val="24"/>
          <w:lang w:val="en-US" w:eastAsia="zh-CN"/>
        </w:rPr>
        <w:t>得分80</w:t>
      </w:r>
      <w:r>
        <w:rPr>
          <w:rFonts w:hint="default" w:ascii="Times New Roman" w:hAnsi="Times New Roman" w:eastAsia="方正仿宋_GBK" w:cs="Times New Roman"/>
          <w:color w:val="auto"/>
          <w:sz w:val="24"/>
          <w:szCs w:val="24"/>
        </w:rPr>
        <w:t>（含）-8</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分扣款1000元，</w:t>
      </w:r>
      <w:r>
        <w:rPr>
          <w:rFonts w:hint="default" w:ascii="Times New Roman" w:hAnsi="Times New Roman" w:eastAsia="方正仿宋_GBK" w:cs="Times New Roman"/>
          <w:color w:val="auto"/>
          <w:sz w:val="24"/>
          <w:szCs w:val="24"/>
          <w:lang w:val="en-US" w:eastAsia="zh-CN"/>
        </w:rPr>
        <w:t>得分</w:t>
      </w:r>
      <w:r>
        <w:rPr>
          <w:rFonts w:hint="default" w:ascii="Times New Roman" w:hAnsi="Times New Roman" w:eastAsia="方正仿宋_GBK" w:cs="Times New Roman"/>
          <w:color w:val="auto"/>
          <w:sz w:val="24"/>
          <w:szCs w:val="24"/>
        </w:rPr>
        <w:t>70分-</w:t>
      </w:r>
      <w:r>
        <w:rPr>
          <w:rFonts w:hint="default" w:ascii="Times New Roman" w:hAnsi="Times New Roman" w:eastAsia="方正仿宋_GBK" w:cs="Times New Roman"/>
          <w:color w:val="auto"/>
          <w:sz w:val="24"/>
          <w:szCs w:val="24"/>
          <w:lang w:val="en-US" w:eastAsia="zh-CN"/>
        </w:rPr>
        <w:t>79</w:t>
      </w:r>
      <w:r>
        <w:rPr>
          <w:rFonts w:hint="default" w:ascii="Times New Roman" w:hAnsi="Times New Roman" w:eastAsia="方正仿宋_GBK" w:cs="Times New Roman"/>
          <w:color w:val="auto"/>
          <w:sz w:val="24"/>
          <w:szCs w:val="24"/>
        </w:rPr>
        <w:t>分扣除当</w:t>
      </w:r>
      <w:r>
        <w:rPr>
          <w:rFonts w:hint="default" w:ascii="Times New Roman" w:hAnsi="Times New Roman" w:eastAsia="方正仿宋_GBK" w:cs="Times New Roman"/>
          <w:color w:val="auto"/>
          <w:sz w:val="24"/>
          <w:szCs w:val="24"/>
          <w:lang w:val="en-US" w:eastAsia="zh-CN"/>
        </w:rPr>
        <w:t>季度电梯维护保养服务</w:t>
      </w:r>
      <w:r>
        <w:rPr>
          <w:rFonts w:hint="default" w:ascii="Times New Roman" w:hAnsi="Times New Roman" w:eastAsia="方正仿宋_GBK" w:cs="Times New Roman"/>
          <w:color w:val="auto"/>
          <w:sz w:val="24"/>
          <w:szCs w:val="24"/>
        </w:rPr>
        <w:t>费用的10％</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得分69</w:t>
      </w:r>
      <w:r>
        <w:rPr>
          <w:rFonts w:hint="default" w:ascii="Times New Roman" w:hAnsi="Times New Roman" w:eastAsia="方正仿宋_GBK" w:cs="Times New Roman"/>
          <w:color w:val="auto"/>
          <w:sz w:val="24"/>
          <w:szCs w:val="24"/>
        </w:rPr>
        <w:t>分（含）以下扣除当</w:t>
      </w:r>
      <w:r>
        <w:rPr>
          <w:rFonts w:hint="default" w:ascii="Times New Roman" w:hAnsi="Times New Roman" w:eastAsia="方正仿宋_GBK" w:cs="Times New Roman"/>
          <w:color w:val="auto"/>
          <w:sz w:val="24"/>
          <w:szCs w:val="24"/>
          <w:lang w:val="en-US" w:eastAsia="zh-CN"/>
        </w:rPr>
        <w:t>季度电梯维护保养服务</w:t>
      </w:r>
      <w:r>
        <w:rPr>
          <w:rFonts w:hint="default" w:ascii="Times New Roman" w:hAnsi="Times New Roman" w:eastAsia="方正仿宋_GBK" w:cs="Times New Roman"/>
          <w:color w:val="auto"/>
          <w:sz w:val="24"/>
          <w:szCs w:val="24"/>
        </w:rPr>
        <w:t>费用的20%，且有权解除</w:t>
      </w:r>
      <w:r>
        <w:rPr>
          <w:rFonts w:hint="default" w:ascii="Times New Roman" w:hAnsi="Times New Roman" w:eastAsia="方正仿宋_GBK" w:cs="Times New Roman"/>
          <w:color w:val="auto"/>
          <w:sz w:val="24"/>
          <w:szCs w:val="24"/>
          <w:lang w:val="en-US" w:eastAsia="zh-CN"/>
        </w:rPr>
        <w:t>本</w:t>
      </w:r>
      <w:r>
        <w:rPr>
          <w:rFonts w:hint="default" w:ascii="Times New Roman" w:hAnsi="Times New Roman" w:eastAsia="方正仿宋_GBK" w:cs="Times New Roman"/>
          <w:color w:val="auto"/>
          <w:sz w:val="24"/>
          <w:szCs w:val="24"/>
        </w:rPr>
        <w:t>服务</w:t>
      </w:r>
      <w:r>
        <w:rPr>
          <w:rFonts w:hint="default" w:ascii="Times New Roman" w:hAnsi="Times New Roman" w:eastAsia="方正仿宋_GBK" w:cs="Times New Roman"/>
          <w:color w:val="auto"/>
          <w:sz w:val="24"/>
          <w:szCs w:val="24"/>
          <w:lang w:val="en-US" w:eastAsia="zh-CN"/>
        </w:rPr>
        <w:t>外包合同</w:t>
      </w:r>
      <w:r>
        <w:rPr>
          <w:rFonts w:hint="default" w:ascii="Times New Roman" w:hAnsi="Times New Roman" w:eastAsia="方正仿宋_GBK" w:cs="Times New Roman"/>
          <w:color w:val="auto"/>
          <w:sz w:val="24"/>
          <w:szCs w:val="24"/>
        </w:rPr>
        <w:t>。</w:t>
      </w:r>
    </w:p>
    <w:p w14:paraId="514B80AA">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b/>
          <w:bCs/>
          <w:color w:val="auto"/>
          <w:sz w:val="24"/>
          <w:szCs w:val="24"/>
        </w:rPr>
        <w:t>（二）乙方的</w:t>
      </w:r>
      <w:r>
        <w:rPr>
          <w:rFonts w:hint="eastAsia" w:ascii="方正楷体_GBK" w:hAnsi="方正楷体_GBK" w:eastAsia="方正楷体_GBK" w:cs="方正楷体_GBK"/>
          <w:b/>
          <w:bCs/>
          <w:color w:val="auto"/>
          <w:sz w:val="24"/>
          <w:szCs w:val="24"/>
          <w:lang w:val="en-US" w:eastAsia="zh-CN"/>
        </w:rPr>
        <w:t>权利</w:t>
      </w:r>
      <w:r>
        <w:rPr>
          <w:rFonts w:hint="eastAsia" w:ascii="方正楷体_GBK" w:hAnsi="方正楷体_GBK" w:eastAsia="方正楷体_GBK" w:cs="方正楷体_GBK"/>
          <w:b/>
          <w:bCs/>
          <w:color w:val="auto"/>
          <w:sz w:val="24"/>
          <w:szCs w:val="24"/>
        </w:rPr>
        <w:t>与义务</w:t>
      </w:r>
    </w:p>
    <w:p w14:paraId="77CC3CB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根据本合同所规定的工作范围和定义为甲方提供设备的保养，热线抢修和维修服务。</w:t>
      </w:r>
    </w:p>
    <w:p w14:paraId="2408D6E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以服务管理系统制定的任务清单实施保养。并向甲方通报保养及维修的情况。</w:t>
      </w:r>
    </w:p>
    <w:p w14:paraId="720EC33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定期向甲方报告保养设备的运行情况、零部件使用情况、易损件的更换情况，并做好详细记录。</w:t>
      </w:r>
    </w:p>
    <w:p w14:paraId="4884724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指导甲方正确操作及安全使用设备，并提供技术咨询服务。</w:t>
      </w:r>
    </w:p>
    <w:p w14:paraId="259A9DA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若乙方人员在保养或维修设备工作过程中因疏忽或失职，或者提供的服务发生其他不符合本合同规定要求的情况，造成甲方设备、其他财产或任何人身的损害，乙方负责赔偿，赔偿范围按《中华人民共和国</w:t>
      </w:r>
      <w:r>
        <w:rPr>
          <w:rFonts w:hint="default" w:ascii="Times New Roman" w:hAnsi="Times New Roman" w:eastAsia="方正仿宋_GBK" w:cs="Times New Roman"/>
          <w:color w:val="auto"/>
          <w:sz w:val="24"/>
          <w:szCs w:val="24"/>
          <w:lang w:val="en-US" w:eastAsia="zh-CN"/>
        </w:rPr>
        <w:t>民法典</w:t>
      </w:r>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val="en-US" w:eastAsia="zh-CN"/>
        </w:rPr>
        <w:t>相关条款</w:t>
      </w:r>
      <w:r>
        <w:rPr>
          <w:rFonts w:hint="default" w:ascii="Times New Roman" w:hAnsi="Times New Roman" w:eastAsia="方正仿宋_GBK" w:cs="Times New Roman"/>
          <w:color w:val="auto"/>
          <w:sz w:val="24"/>
          <w:szCs w:val="24"/>
        </w:rPr>
        <w:t>确定。若因不可抗拒外力等事故造成的损失或延误，乙方不负任何责任。</w:t>
      </w:r>
    </w:p>
    <w:p w14:paraId="37E18DE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rPr>
        <w:t>下列内容不属于保养服务范围，但在甲、乙双方协商确定并甲方同意支付费用的前提下，乙方仍可提供服务。</w:t>
      </w:r>
    </w:p>
    <w:p w14:paraId="313C8AE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任何属于故意的，人为的，不可抗力，意外破坏或超出乙方控制范围的原因而造成的设备的整修和零部件更换。</w:t>
      </w:r>
    </w:p>
    <w:p w14:paraId="72DFC8B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为了装饰目的而进行的各种整修或更换照明及其它设施。</w:t>
      </w:r>
    </w:p>
    <w:p w14:paraId="2986E84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由于现行的适应于电梯设备的法令、法规变化而必须进行的工作，而这种法令法规的变化生效于本合同签订日期之后。</w:t>
      </w:r>
    </w:p>
    <w:p w14:paraId="444DCFA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上述工作在乙方完成之后，由乙方根据双方事先确定的金额出具发票，甲方应在发票送达之日起的14天之内付款。</w:t>
      </w:r>
    </w:p>
    <w:p w14:paraId="0B98D35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七</w:t>
      </w:r>
      <w:r>
        <w:rPr>
          <w:rFonts w:hint="eastAsia" w:ascii="方正黑体_GBK" w:hAnsi="方正黑体_GBK" w:eastAsia="方正黑体_GBK" w:cs="方正黑体_GBK"/>
          <w:color w:val="auto"/>
          <w:sz w:val="24"/>
          <w:szCs w:val="24"/>
        </w:rPr>
        <w:t>、</w:t>
      </w:r>
      <w:r>
        <w:rPr>
          <w:rFonts w:hint="eastAsia" w:ascii="方正黑体_GBK" w:hAnsi="方正黑体_GBK" w:eastAsia="方正黑体_GBK" w:cs="方正黑体_GBK"/>
          <w:color w:val="auto"/>
          <w:sz w:val="24"/>
          <w:szCs w:val="24"/>
          <w:lang w:val="en-US" w:eastAsia="zh-CN"/>
        </w:rPr>
        <w:t>其他约定</w:t>
      </w:r>
    </w:p>
    <w:p w14:paraId="34839D2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w:t>
      </w:r>
      <w:r>
        <w:rPr>
          <w:rFonts w:hint="eastAsia" w:ascii="方正仿宋_GBK" w:hAnsi="方正仿宋_GBK" w:eastAsia="方正仿宋_GBK" w:cs="方正仿宋_GBK"/>
          <w:color w:val="auto"/>
          <w:sz w:val="24"/>
          <w:szCs w:val="24"/>
          <w:lang w:val="en-US" w:eastAsia="zh-CN"/>
        </w:rPr>
        <w:t>乙方自行招聘维保工作人员，自行履行</w:t>
      </w:r>
      <w:r>
        <w:rPr>
          <w:rFonts w:hint="eastAsia" w:ascii="方正仿宋_GBK" w:hAnsi="方正仿宋_GBK" w:eastAsia="方正仿宋_GBK" w:cs="方正仿宋_GBK"/>
          <w:color w:val="auto"/>
          <w:sz w:val="24"/>
          <w:szCs w:val="24"/>
        </w:rPr>
        <w:t>《中华人民共和国</w:t>
      </w:r>
      <w:r>
        <w:rPr>
          <w:rFonts w:hint="eastAsia" w:ascii="方正仿宋_GBK" w:hAnsi="方正仿宋_GBK" w:eastAsia="方正仿宋_GBK" w:cs="方正仿宋_GBK"/>
          <w:color w:val="auto"/>
          <w:sz w:val="24"/>
          <w:szCs w:val="24"/>
          <w:lang w:val="en-US" w:eastAsia="zh-CN"/>
        </w:rPr>
        <w:t>民法典</w:t>
      </w:r>
      <w:r>
        <w:rPr>
          <w:rFonts w:hint="eastAsia" w:ascii="方正仿宋_GBK" w:hAnsi="方正仿宋_GBK" w:eastAsia="方正仿宋_GBK" w:cs="方正仿宋_GBK"/>
          <w:color w:val="auto"/>
          <w:sz w:val="24"/>
          <w:szCs w:val="24"/>
        </w:rPr>
        <w:t>》以及相关法律法规</w:t>
      </w:r>
      <w:r>
        <w:rPr>
          <w:rFonts w:hint="eastAsia" w:ascii="方正仿宋_GBK" w:hAnsi="方正仿宋_GBK" w:eastAsia="方正仿宋_GBK" w:cs="方正仿宋_GBK"/>
          <w:color w:val="auto"/>
          <w:sz w:val="24"/>
          <w:szCs w:val="24"/>
          <w:lang w:val="en-US" w:eastAsia="zh-CN"/>
        </w:rPr>
        <w:t>有关劳动用工</w:t>
      </w:r>
      <w:r>
        <w:rPr>
          <w:rFonts w:hint="eastAsia" w:ascii="方正仿宋_GBK" w:hAnsi="方正仿宋_GBK" w:eastAsia="方正仿宋_GBK" w:cs="方正仿宋_GBK"/>
          <w:color w:val="auto"/>
          <w:sz w:val="24"/>
          <w:szCs w:val="24"/>
        </w:rPr>
        <w:t>的规定。</w:t>
      </w:r>
    </w:p>
    <w:p w14:paraId="0CADE9F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而</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如遇不可抗力因素造成的损失或导致合同终止，甲乙双方均不负任何责任。</w:t>
      </w:r>
    </w:p>
    <w:p w14:paraId="451DC42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（三）本合同未尽事宜由甲乙双方协商解决；如</w:t>
      </w:r>
      <w:r>
        <w:rPr>
          <w:rFonts w:hint="eastAsia" w:ascii="方正仿宋_GBK" w:hAnsi="方正仿宋_GBK" w:eastAsia="方正仿宋_GBK" w:cs="方正仿宋_GBK"/>
          <w:color w:val="auto"/>
          <w:sz w:val="24"/>
          <w:szCs w:val="24"/>
        </w:rPr>
        <w:t>协商不成的，可通过甲方所在地法院诉讼解决。</w:t>
      </w:r>
    </w:p>
    <w:p w14:paraId="5E67A7D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四</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本协议一式</w:t>
      </w:r>
      <w:r>
        <w:rPr>
          <w:rFonts w:hint="eastAsia" w:ascii="方正仿宋_GBK" w:hAnsi="方正仿宋_GBK" w:eastAsia="方正仿宋_GBK" w:cs="方正仿宋_GBK"/>
          <w:color w:val="auto"/>
          <w:sz w:val="24"/>
          <w:szCs w:val="24"/>
          <w:lang w:val="en-US" w:eastAsia="zh-CN"/>
        </w:rPr>
        <w:t>叁</w:t>
      </w:r>
      <w:r>
        <w:rPr>
          <w:rFonts w:hint="eastAsia" w:ascii="方正仿宋_GBK" w:hAnsi="方正仿宋_GBK" w:eastAsia="方正仿宋_GBK" w:cs="方正仿宋_GBK"/>
          <w:color w:val="auto"/>
          <w:sz w:val="24"/>
          <w:szCs w:val="24"/>
        </w:rPr>
        <w:t>份，</w:t>
      </w:r>
      <w:r>
        <w:rPr>
          <w:rFonts w:hint="eastAsia" w:ascii="方正仿宋_GBK" w:hAnsi="方正仿宋_GBK" w:eastAsia="方正仿宋_GBK" w:cs="方正仿宋_GBK"/>
          <w:color w:val="auto"/>
          <w:sz w:val="24"/>
          <w:szCs w:val="24"/>
          <w:lang w:val="en-US" w:eastAsia="zh-CN"/>
        </w:rPr>
        <w:t>甲方</w:t>
      </w:r>
      <w:r>
        <w:rPr>
          <w:rFonts w:hint="eastAsia" w:ascii="方正仿宋_GBK" w:hAnsi="方正仿宋_GBK" w:eastAsia="方正仿宋_GBK" w:cs="方正仿宋_GBK"/>
          <w:color w:val="auto"/>
          <w:sz w:val="24"/>
          <w:szCs w:val="24"/>
        </w:rPr>
        <w:t>执贰份，</w:t>
      </w:r>
      <w:r>
        <w:rPr>
          <w:rFonts w:hint="eastAsia" w:ascii="方正仿宋_GBK" w:hAnsi="方正仿宋_GBK" w:eastAsia="方正仿宋_GBK" w:cs="方正仿宋_GBK"/>
          <w:color w:val="auto"/>
          <w:sz w:val="24"/>
          <w:szCs w:val="24"/>
          <w:lang w:val="en-US" w:eastAsia="zh-CN"/>
        </w:rPr>
        <w:t>乙方执壹份，</w:t>
      </w:r>
      <w:r>
        <w:rPr>
          <w:rFonts w:hint="eastAsia" w:ascii="方正仿宋_GBK" w:hAnsi="方正仿宋_GBK" w:eastAsia="方正仿宋_GBK" w:cs="方正仿宋_GBK"/>
          <w:color w:val="auto"/>
          <w:sz w:val="24"/>
          <w:szCs w:val="24"/>
        </w:rPr>
        <w:t>具有同等法律效力；本协议自双方签章之日起生效。</w:t>
      </w:r>
    </w:p>
    <w:p w14:paraId="5EE2817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八、甲方开票信息及乙方收款账号信息</w:t>
      </w:r>
    </w:p>
    <w:p w14:paraId="3210CC3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1.甲方开票信息</w:t>
      </w:r>
    </w:p>
    <w:p w14:paraId="59086D1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单位名称：</w:t>
      </w:r>
    </w:p>
    <w:p w14:paraId="3F14016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纳税人识别号：</w:t>
      </w:r>
    </w:p>
    <w:p w14:paraId="3AB4F92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开户行名称：</w:t>
      </w:r>
    </w:p>
    <w:p w14:paraId="552A380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开户行账号：</w:t>
      </w:r>
    </w:p>
    <w:p w14:paraId="6947CAF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联系地址：</w:t>
      </w:r>
    </w:p>
    <w:p w14:paraId="0255F78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p>
    <w:p w14:paraId="313C790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乙方收款信息</w:t>
      </w:r>
    </w:p>
    <w:p w14:paraId="7F1231F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单位名称：</w:t>
      </w:r>
    </w:p>
    <w:p w14:paraId="393E502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纳税人识别号：</w:t>
      </w:r>
    </w:p>
    <w:p w14:paraId="3D7C60F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开户行名称：</w:t>
      </w:r>
    </w:p>
    <w:p w14:paraId="53580BC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开户行账号：</w:t>
      </w:r>
    </w:p>
    <w:p w14:paraId="09916BD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联系地址：</w:t>
      </w:r>
    </w:p>
    <w:p w14:paraId="2547027D">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Times New Roman" w:hAnsi="Times New Roman" w:eastAsia="方正仿宋_GBK" w:cs="Times New Roman"/>
          <w:color w:val="auto"/>
          <w:sz w:val="24"/>
          <w:szCs w:val="24"/>
          <w:lang w:val="en-US" w:eastAsia="zh-CN"/>
        </w:rPr>
        <w:t>电话：</w:t>
      </w:r>
    </w:p>
    <w:tbl>
      <w:tblPr>
        <w:tblStyle w:val="16"/>
        <w:tblW w:w="9571" w:type="dxa"/>
        <w:tblInd w:w="0" w:type="dxa"/>
        <w:tblLayout w:type="fixed"/>
        <w:tblCellMar>
          <w:top w:w="0" w:type="dxa"/>
          <w:left w:w="108" w:type="dxa"/>
          <w:bottom w:w="0" w:type="dxa"/>
          <w:right w:w="108" w:type="dxa"/>
        </w:tblCellMar>
      </w:tblPr>
      <w:tblGrid>
        <w:gridCol w:w="4801"/>
        <w:gridCol w:w="4770"/>
      </w:tblGrid>
      <w:tr w14:paraId="0AE8E289">
        <w:tblPrEx>
          <w:tblCellMar>
            <w:top w:w="0" w:type="dxa"/>
            <w:left w:w="108" w:type="dxa"/>
            <w:bottom w:w="0" w:type="dxa"/>
            <w:right w:w="108" w:type="dxa"/>
          </w:tblCellMar>
        </w:tblPrEx>
        <w:trPr>
          <w:trHeight w:val="2580" w:hRule="atLeast"/>
        </w:trPr>
        <w:tc>
          <w:tcPr>
            <w:tcW w:w="4801" w:type="dxa"/>
            <w:noWrap w:val="0"/>
            <w:vAlign w:val="top"/>
          </w:tcPr>
          <w:p w14:paraId="7B1C358C">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甲方（</w:t>
            </w:r>
            <w:r>
              <w:rPr>
                <w:rFonts w:hint="eastAsia" w:ascii="方正仿宋_GBK" w:hAnsi="方正仿宋_GBK" w:eastAsia="方正仿宋_GBK" w:cs="方正仿宋_GBK"/>
                <w:color w:val="auto"/>
                <w:sz w:val="24"/>
                <w:lang w:val="en-US" w:eastAsia="zh-CN"/>
              </w:rPr>
              <w:t>公章</w:t>
            </w:r>
            <w:r>
              <w:rPr>
                <w:rFonts w:hint="eastAsia" w:ascii="方正仿宋_GBK" w:hAnsi="方正仿宋_GBK" w:eastAsia="方正仿宋_GBK" w:cs="方正仿宋_GBK"/>
                <w:color w:val="auto"/>
                <w:sz w:val="24"/>
              </w:rPr>
              <w:t>）：</w:t>
            </w:r>
          </w:p>
          <w:p w14:paraId="4A4309F4">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甲方</w:t>
            </w:r>
            <w:r>
              <w:rPr>
                <w:rFonts w:hint="eastAsia" w:ascii="方正仿宋_GBK" w:hAnsi="方正仿宋_GBK" w:eastAsia="方正仿宋_GBK" w:cs="方正仿宋_GBK"/>
                <w:color w:val="auto"/>
                <w:sz w:val="24"/>
              </w:rPr>
              <w:t>法定代表人</w:t>
            </w:r>
            <w:r>
              <w:rPr>
                <w:rFonts w:hint="eastAsia" w:ascii="方正仿宋_GBK" w:hAnsi="方正仿宋_GBK" w:eastAsia="方正仿宋_GBK" w:cs="方正仿宋_GBK"/>
                <w:color w:val="auto"/>
                <w:sz w:val="24"/>
                <w:lang w:val="en-US" w:eastAsia="zh-CN"/>
              </w:rPr>
              <w:t>或委托代理</w:t>
            </w:r>
            <w:r>
              <w:rPr>
                <w:rFonts w:hint="eastAsia" w:ascii="方正仿宋_GBK" w:hAnsi="方正仿宋_GBK" w:eastAsia="方正仿宋_GBK" w:cs="方正仿宋_GBK"/>
                <w:color w:val="auto"/>
                <w:sz w:val="24"/>
              </w:rPr>
              <w:t>人：</w:t>
            </w:r>
          </w:p>
          <w:p w14:paraId="544D19FD">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联系人：</w:t>
            </w:r>
          </w:p>
          <w:p w14:paraId="777A4CA2">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联系</w:t>
            </w:r>
            <w:r>
              <w:rPr>
                <w:rFonts w:hint="eastAsia" w:ascii="方正仿宋_GBK" w:hAnsi="方正仿宋_GBK" w:eastAsia="方正仿宋_GBK" w:cs="方正仿宋_GBK"/>
                <w:color w:val="auto"/>
                <w:sz w:val="24"/>
              </w:rPr>
              <w:t>电话：</w:t>
            </w:r>
          </w:p>
        </w:tc>
        <w:tc>
          <w:tcPr>
            <w:tcW w:w="4770" w:type="dxa"/>
            <w:noWrap w:val="0"/>
            <w:vAlign w:val="top"/>
          </w:tcPr>
          <w:p w14:paraId="60F2AFC6">
            <w:pPr>
              <w:keepNext w:val="0"/>
              <w:keepLines w:val="0"/>
              <w:pageBreakBefore w:val="0"/>
              <w:widowControl w:val="0"/>
              <w:kinsoku/>
              <w:wordWrap/>
              <w:overflowPunct/>
              <w:topLinePunct w:val="0"/>
              <w:autoSpaceDE/>
              <w:autoSpaceDN/>
              <w:bidi w:val="0"/>
              <w:spacing w:line="594" w:lineRule="exact"/>
              <w:ind w:left="1440" w:hanging="1440" w:hangingChars="600"/>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乙方（</w:t>
            </w:r>
            <w:r>
              <w:rPr>
                <w:rFonts w:hint="eastAsia" w:ascii="方正仿宋_GBK" w:hAnsi="方正仿宋_GBK" w:eastAsia="方正仿宋_GBK" w:cs="方正仿宋_GBK"/>
                <w:color w:val="auto"/>
                <w:sz w:val="24"/>
                <w:lang w:val="en-US" w:eastAsia="zh-CN"/>
              </w:rPr>
              <w:t>公章</w:t>
            </w:r>
            <w:r>
              <w:rPr>
                <w:rFonts w:hint="eastAsia" w:ascii="方正仿宋_GBK" w:hAnsi="方正仿宋_GBK" w:eastAsia="方正仿宋_GBK" w:cs="方正仿宋_GBK"/>
                <w:color w:val="auto"/>
                <w:sz w:val="24"/>
              </w:rPr>
              <w:t>）：</w:t>
            </w:r>
          </w:p>
          <w:p w14:paraId="3A7F0490">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乙方</w:t>
            </w:r>
            <w:r>
              <w:rPr>
                <w:rFonts w:hint="eastAsia" w:ascii="方正仿宋_GBK" w:hAnsi="方正仿宋_GBK" w:eastAsia="方正仿宋_GBK" w:cs="方正仿宋_GBK"/>
                <w:color w:val="auto"/>
                <w:sz w:val="24"/>
              </w:rPr>
              <w:t>法定代表人</w:t>
            </w:r>
            <w:r>
              <w:rPr>
                <w:rFonts w:hint="eastAsia" w:ascii="方正仿宋_GBK" w:hAnsi="方正仿宋_GBK" w:eastAsia="方正仿宋_GBK" w:cs="方正仿宋_GBK"/>
                <w:color w:val="auto"/>
                <w:sz w:val="24"/>
                <w:lang w:val="en-US" w:eastAsia="zh-CN"/>
              </w:rPr>
              <w:t>或乙方委托代理</w:t>
            </w:r>
            <w:r>
              <w:rPr>
                <w:rFonts w:hint="eastAsia" w:ascii="方正仿宋_GBK" w:hAnsi="方正仿宋_GBK" w:eastAsia="方正仿宋_GBK" w:cs="方正仿宋_GBK"/>
                <w:color w:val="auto"/>
                <w:sz w:val="24"/>
              </w:rPr>
              <w:t>人：</w:t>
            </w:r>
          </w:p>
          <w:p w14:paraId="7E58A8F5">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联系人：</w:t>
            </w:r>
          </w:p>
          <w:p w14:paraId="5BA7D662">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联系电话：</w:t>
            </w:r>
          </w:p>
        </w:tc>
      </w:tr>
    </w:tbl>
    <w:p w14:paraId="5D47A023">
      <w:pPr>
        <w:widowControl/>
        <w:ind w:firstLine="480" w:firstLineChars="200"/>
        <w:rPr>
          <w:rFonts w:hint="eastAsia" w:ascii="方正仿宋_GBK" w:hAnsi="方正仿宋_GBK" w:eastAsia="方正仿宋_GBK" w:cs="方正仿宋_GBK"/>
          <w:color w:val="auto"/>
          <w:sz w:val="24"/>
          <w:szCs w:val="24"/>
          <w:lang w:val="en-US" w:eastAsia="zh-CN"/>
        </w:rPr>
      </w:pPr>
    </w:p>
    <w:p w14:paraId="4EE545F4">
      <w:pPr>
        <w:widowControl/>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签订地址：</w:t>
      </w:r>
    </w:p>
    <w:p w14:paraId="603617EB">
      <w:pPr>
        <w:widowControl/>
        <w:ind w:firstLine="480" w:firstLineChars="200"/>
        <w:rPr>
          <w:rFonts w:hint="eastAsia" w:ascii="方正仿宋_GBK" w:hAnsi="方正仿宋_GBK" w:eastAsia="方正仿宋_GBK" w:cs="方正仿宋_GBK"/>
          <w:color w:val="auto"/>
          <w:sz w:val="24"/>
          <w:szCs w:val="24"/>
          <w:lang w:val="en-US" w:eastAsia="zh-CN"/>
        </w:rPr>
      </w:pPr>
    </w:p>
    <w:p w14:paraId="6B837428">
      <w:pPr>
        <w:widowControl/>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签订时间：</w:t>
      </w:r>
    </w:p>
    <w:p w14:paraId="41219FB5">
      <w:pPr>
        <w:widowControl/>
        <w:ind w:firstLine="480" w:firstLineChars="200"/>
        <w:rPr>
          <w:rFonts w:hint="eastAsia" w:ascii="方正仿宋_GBK" w:hAnsi="方正仿宋_GBK" w:eastAsia="方正仿宋_GBK" w:cs="方正仿宋_GBK"/>
          <w:color w:val="auto"/>
          <w:sz w:val="24"/>
          <w:szCs w:val="24"/>
          <w:lang w:eastAsia="zh-CN"/>
        </w:rPr>
      </w:pPr>
    </w:p>
    <w:p w14:paraId="018B2968">
      <w:pPr>
        <w:widowControl/>
        <w:ind w:firstLine="480" w:firstLineChars="200"/>
        <w:rPr>
          <w:rFonts w:hint="eastAsia" w:ascii="方正仿宋_GBK" w:hAnsi="方正仿宋_GBK" w:eastAsia="方正仿宋_GBK" w:cs="方正仿宋_GBK"/>
          <w:color w:val="auto"/>
          <w:sz w:val="24"/>
          <w:szCs w:val="24"/>
          <w:lang w:eastAsia="zh-CN"/>
        </w:rPr>
      </w:pPr>
    </w:p>
    <w:p w14:paraId="4C5EAE2D">
      <w:pPr>
        <w:widowControl/>
        <w:ind w:firstLine="480" w:firstLineChars="200"/>
        <w:rPr>
          <w:rFonts w:hint="eastAsia" w:ascii="方正仿宋_GBK" w:hAnsi="方正仿宋_GBK" w:eastAsia="方正仿宋_GBK" w:cs="方正仿宋_GBK"/>
          <w:color w:val="auto"/>
          <w:sz w:val="24"/>
          <w:szCs w:val="24"/>
          <w:lang w:eastAsia="zh-CN"/>
        </w:rPr>
      </w:pPr>
    </w:p>
    <w:p w14:paraId="3EB1D08B">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p>
    <w:p w14:paraId="20CD54C7">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p>
    <w:p w14:paraId="265AD523">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p>
    <w:p w14:paraId="292A3626">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pacing w:val="10"/>
          <w:sz w:val="24"/>
          <w:szCs w:val="24"/>
          <w:highlight w:val="none"/>
        </w:rPr>
      </w:pPr>
      <w:r>
        <w:rPr>
          <w:rFonts w:hint="default" w:ascii="Times New Roman" w:hAnsi="Times New Roman" w:eastAsia="方正黑体_GBK" w:cs="Times New Roman"/>
          <w:b/>
          <w:color w:val="auto"/>
          <w:sz w:val="36"/>
          <w:szCs w:val="36"/>
          <w:highlight w:val="none"/>
          <w:lang w:val="en-US" w:eastAsia="zh-CN"/>
        </w:rPr>
        <w:t xml:space="preserve">第六部分 </w:t>
      </w:r>
      <w:r>
        <w:rPr>
          <w:rFonts w:hint="default" w:ascii="Times New Roman" w:hAnsi="Times New Roman" w:eastAsia="方正黑体_GBK" w:cs="Times New Roman"/>
          <w:b/>
          <w:color w:val="auto"/>
          <w:sz w:val="36"/>
          <w:szCs w:val="36"/>
          <w:highlight w:val="none"/>
        </w:rPr>
        <w:t>投标文件格式</w:t>
      </w:r>
    </w:p>
    <w:p w14:paraId="4620D44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方正楷体_GBK" w:hAnsi="方正楷体_GBK" w:eastAsia="方正楷体_GBK" w:cs="方正楷体_GBK"/>
          <w:b/>
          <w:bCs/>
          <w:color w:val="auto"/>
          <w:spacing w:val="10"/>
          <w:sz w:val="24"/>
          <w:szCs w:val="24"/>
          <w:highlight w:val="none"/>
        </w:rPr>
      </w:pPr>
      <w:r>
        <w:rPr>
          <w:rFonts w:hint="eastAsia" w:ascii="方正楷体_GBK" w:hAnsi="方正楷体_GBK" w:eastAsia="方正楷体_GBK" w:cs="方正楷体_GBK"/>
          <w:b/>
          <w:bCs/>
          <w:color w:val="auto"/>
          <w:sz w:val="24"/>
          <w:szCs w:val="24"/>
          <w:highlight w:val="none"/>
          <w:lang w:eastAsia="zh-CN"/>
        </w:rPr>
        <w:t>（投标</w:t>
      </w:r>
      <w:r>
        <w:rPr>
          <w:rFonts w:hint="eastAsia" w:ascii="方正楷体_GBK" w:hAnsi="方正楷体_GBK" w:eastAsia="方正楷体_GBK" w:cs="方正楷体_GBK"/>
          <w:b/>
          <w:bCs/>
          <w:color w:val="auto"/>
          <w:sz w:val="24"/>
          <w:szCs w:val="24"/>
          <w:highlight w:val="none"/>
        </w:rPr>
        <w:t>文件按以下内容的先后顺序进行编制，并装订成册，每页加盖公章</w:t>
      </w:r>
      <w:r>
        <w:rPr>
          <w:rFonts w:hint="eastAsia" w:ascii="方正楷体_GBK" w:hAnsi="方正楷体_GBK" w:eastAsia="方正楷体_GBK" w:cs="方正楷体_GBK"/>
          <w:b/>
          <w:bCs/>
          <w:color w:val="auto"/>
          <w:sz w:val="24"/>
          <w:szCs w:val="24"/>
          <w:highlight w:val="none"/>
          <w:lang w:eastAsia="zh-CN"/>
        </w:rPr>
        <w:t>）</w:t>
      </w:r>
    </w:p>
    <w:p w14:paraId="2D8050C1">
      <w:pPr>
        <w:pStyle w:val="9"/>
        <w:jc w:val="center"/>
        <w:rPr>
          <w:rFonts w:hint="default" w:ascii="Times New Roman" w:hAnsi="Times New Roman" w:cs="Times New Roman"/>
          <w:b/>
          <w:color w:val="auto"/>
          <w:sz w:val="44"/>
          <w:szCs w:val="44"/>
          <w:highlight w:val="none"/>
        </w:rPr>
      </w:pPr>
    </w:p>
    <w:p w14:paraId="11C5F2B7">
      <w:pPr>
        <w:pStyle w:val="9"/>
        <w:jc w:val="center"/>
        <w:rPr>
          <w:rFonts w:hint="default" w:ascii="Times New Roman" w:hAnsi="Times New Roman" w:cs="Times New Roman"/>
          <w:b/>
          <w:color w:val="auto"/>
          <w:sz w:val="84"/>
          <w:szCs w:val="84"/>
          <w:highlight w:val="none"/>
        </w:rPr>
      </w:pPr>
      <w:r>
        <w:rPr>
          <w:rFonts w:hint="eastAsia" w:ascii="Times New Roman" w:hAnsi="Times New Roman" w:eastAsia="方正小标宋_GBK" w:cs="Times New Roman"/>
          <w:b/>
          <w:bCs/>
          <w:color w:val="auto"/>
          <w:sz w:val="36"/>
          <w:szCs w:val="36"/>
          <w:highlight w:val="none"/>
          <w:lang w:val="en-US" w:eastAsia="zh-CN"/>
        </w:rPr>
        <w:t>巨星花园A区1-7单元电梯维护保养服务外包采购项目</w:t>
      </w:r>
    </w:p>
    <w:p w14:paraId="04B6DC81">
      <w:pPr>
        <w:pStyle w:val="9"/>
        <w:jc w:val="center"/>
        <w:rPr>
          <w:rFonts w:hint="default" w:ascii="Times New Roman" w:hAnsi="Times New Roman" w:cs="Times New Roman"/>
          <w:b/>
          <w:color w:val="auto"/>
          <w:sz w:val="84"/>
          <w:szCs w:val="84"/>
          <w:highlight w:val="none"/>
        </w:rPr>
      </w:pPr>
    </w:p>
    <w:p w14:paraId="2B68FFF3">
      <w:pPr>
        <w:pStyle w:val="9"/>
        <w:jc w:val="center"/>
        <w:rPr>
          <w:rFonts w:hint="default" w:ascii="Times New Roman" w:hAnsi="Times New Roman" w:cs="Times New Roman"/>
          <w:b/>
          <w:color w:val="auto"/>
          <w:sz w:val="84"/>
          <w:szCs w:val="84"/>
          <w:highlight w:val="none"/>
        </w:rPr>
      </w:pPr>
    </w:p>
    <w:p w14:paraId="10F17A0B">
      <w:pPr>
        <w:pStyle w:val="9"/>
        <w:jc w:val="center"/>
        <w:rPr>
          <w:rFonts w:hint="default" w:ascii="Times New Roman" w:hAnsi="Times New Roman" w:eastAsia="方正小标宋_GBK" w:cs="Times New Roman"/>
          <w:b/>
          <w:color w:val="auto"/>
          <w:sz w:val="84"/>
          <w:szCs w:val="84"/>
          <w:highlight w:val="none"/>
        </w:rPr>
      </w:pPr>
      <w:r>
        <w:rPr>
          <w:rFonts w:hint="default" w:ascii="Times New Roman" w:hAnsi="Times New Roman" w:eastAsia="方正小标宋_GBK" w:cs="Times New Roman"/>
          <w:b/>
          <w:color w:val="auto"/>
          <w:sz w:val="84"/>
          <w:szCs w:val="84"/>
          <w:highlight w:val="none"/>
          <w:lang w:eastAsia="zh-CN"/>
        </w:rPr>
        <w:t>比</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选</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响</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应</w:t>
      </w:r>
      <w:r>
        <w:rPr>
          <w:rFonts w:hint="default" w:ascii="Times New Roman" w:hAnsi="Times New Roman" w:eastAsia="方正小标宋_GBK" w:cs="Times New Roman"/>
          <w:b/>
          <w:color w:val="auto"/>
          <w:sz w:val="84"/>
          <w:szCs w:val="84"/>
          <w:highlight w:val="none"/>
        </w:rPr>
        <w:t xml:space="preserve"> 文 件</w:t>
      </w:r>
    </w:p>
    <w:p w14:paraId="2E4F67D0">
      <w:pPr>
        <w:pStyle w:val="9"/>
        <w:jc w:val="center"/>
        <w:rPr>
          <w:rFonts w:hint="default" w:ascii="Times New Roman" w:hAnsi="Times New Roman" w:eastAsia="方正小标宋_GBK" w:cs="Times New Roman"/>
          <w:b/>
          <w:color w:val="auto"/>
          <w:sz w:val="44"/>
          <w:szCs w:val="44"/>
          <w:highlight w:val="none"/>
        </w:rPr>
      </w:pPr>
    </w:p>
    <w:p w14:paraId="4597DAD4">
      <w:pPr>
        <w:rPr>
          <w:rFonts w:hint="default" w:ascii="Times New Roman" w:hAnsi="Times New Roman" w:eastAsia="方正小标宋_GBK" w:cs="Times New Roman"/>
          <w:b/>
          <w:color w:val="auto"/>
          <w:sz w:val="28"/>
          <w:szCs w:val="28"/>
          <w:highlight w:val="none"/>
          <w:u w:val="single"/>
        </w:rPr>
      </w:pPr>
    </w:p>
    <w:p w14:paraId="7950998D">
      <w:pPr>
        <w:jc w:val="left"/>
        <w:rPr>
          <w:rFonts w:hint="default" w:ascii="Times New Roman" w:hAnsi="Times New Roman" w:eastAsia="方正小标宋_GBK" w:cs="Times New Roman"/>
          <w:b/>
          <w:color w:val="auto"/>
          <w:sz w:val="28"/>
          <w:szCs w:val="28"/>
          <w:highlight w:val="none"/>
        </w:rPr>
      </w:pPr>
      <w:r>
        <w:rPr>
          <w:rFonts w:hint="default" w:ascii="Times New Roman" w:hAnsi="Times New Roman" w:eastAsia="方正小标宋_GBK" w:cs="Times New Roman"/>
          <w:b/>
          <w:color w:val="auto"/>
          <w:sz w:val="28"/>
          <w:szCs w:val="28"/>
          <w:highlight w:val="none"/>
        </w:rPr>
        <w:t xml:space="preserve">              投标人：</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（盖章单位）</w:t>
      </w:r>
    </w:p>
    <w:p w14:paraId="758C560C">
      <w:pPr>
        <w:jc w:val="left"/>
        <w:rPr>
          <w:rFonts w:hint="default" w:ascii="Times New Roman" w:hAnsi="Times New Roman" w:eastAsia="方正小标宋_GBK" w:cs="Times New Roman"/>
          <w:b/>
          <w:color w:val="auto"/>
          <w:sz w:val="28"/>
          <w:szCs w:val="28"/>
          <w:highlight w:val="none"/>
        </w:rPr>
      </w:pPr>
    </w:p>
    <w:p w14:paraId="2EEE9F8B">
      <w:pPr>
        <w:jc w:val="left"/>
        <w:rPr>
          <w:rFonts w:hint="default" w:ascii="Times New Roman" w:hAnsi="Times New Roman" w:eastAsia="方正小标宋_GBK" w:cs="Times New Roman"/>
          <w:b/>
          <w:color w:val="auto"/>
          <w:sz w:val="28"/>
          <w:szCs w:val="28"/>
          <w:highlight w:val="none"/>
        </w:rPr>
      </w:pPr>
      <w:r>
        <w:rPr>
          <w:rFonts w:hint="default" w:ascii="Times New Roman" w:hAnsi="Times New Roman" w:eastAsia="方正小标宋_GBK" w:cs="Times New Roman"/>
          <w:b/>
          <w:color w:val="auto"/>
          <w:sz w:val="28"/>
          <w:szCs w:val="28"/>
          <w:highlight w:val="none"/>
        </w:rPr>
        <w:t xml:space="preserve">              法定代表人或其委托代理人：</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（签字）</w:t>
      </w:r>
    </w:p>
    <w:p w14:paraId="7E1EC2B4">
      <w:pPr>
        <w:jc w:val="left"/>
        <w:rPr>
          <w:rFonts w:hint="default" w:ascii="Times New Roman" w:hAnsi="Times New Roman" w:eastAsia="方正小标宋_GBK" w:cs="Times New Roman"/>
          <w:b/>
          <w:color w:val="auto"/>
          <w:sz w:val="28"/>
          <w:szCs w:val="28"/>
          <w:highlight w:val="none"/>
        </w:rPr>
      </w:pPr>
    </w:p>
    <w:p w14:paraId="5AB2E9E9">
      <w:pPr>
        <w:jc w:val="center"/>
        <w:rPr>
          <w:rFonts w:hint="default" w:ascii="Times New Roman" w:hAnsi="Times New Roman" w:eastAsia="方正小标宋_GBK" w:cs="Times New Roman"/>
          <w:b/>
          <w:color w:val="auto"/>
          <w:sz w:val="28"/>
          <w:szCs w:val="28"/>
          <w:highlight w:val="none"/>
        </w:rPr>
      </w:pPr>
      <w:r>
        <w:rPr>
          <w:rFonts w:hint="eastAsia" w:ascii="Times New Roman" w:hAnsi="Times New Roman" w:eastAsia="方正小标宋_GBK" w:cs="Times New Roman"/>
          <w:b/>
          <w:color w:val="auto"/>
          <w:sz w:val="28"/>
          <w:szCs w:val="28"/>
          <w:highlight w:val="none"/>
          <w:lang w:val="en-US" w:eastAsia="zh-CN"/>
        </w:rPr>
        <w:t>2025</w:t>
      </w:r>
      <w:r>
        <w:rPr>
          <w:rFonts w:hint="default" w:ascii="Times New Roman" w:hAnsi="Times New Roman" w:eastAsia="方正小标宋_GBK" w:cs="Times New Roman"/>
          <w:b/>
          <w:color w:val="auto"/>
          <w:sz w:val="28"/>
          <w:szCs w:val="28"/>
          <w:highlight w:val="none"/>
        </w:rPr>
        <w:t>年</w:t>
      </w:r>
      <w:r>
        <w:rPr>
          <w:rFonts w:hint="default" w:ascii="Times New Roman" w:hAnsi="Times New Roman" w:eastAsia="方正小标宋_GBK" w:cs="Times New Roman"/>
          <w:b/>
          <w:color w:val="auto"/>
          <w:sz w:val="28"/>
          <w:szCs w:val="28"/>
          <w:highlight w:val="none"/>
          <w:u w:val="single"/>
        </w:rPr>
        <w:t xml:space="preserve"> </w:t>
      </w:r>
      <w:r>
        <w:rPr>
          <w:rFonts w:hint="eastAsia" w:eastAsia="方正小标宋_GBK" w:cs="Times New Roman"/>
          <w:b/>
          <w:color w:val="auto"/>
          <w:sz w:val="28"/>
          <w:szCs w:val="28"/>
          <w:highlight w:val="none"/>
          <w:u w:val="single"/>
          <w:lang w:val="en-US" w:eastAsia="zh-CN"/>
        </w:rPr>
        <w:t xml:space="preserve">  </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月</w:t>
      </w:r>
      <w:r>
        <w:rPr>
          <w:rFonts w:hint="default" w:ascii="Times New Roman" w:hAnsi="Times New Roman" w:eastAsia="方正小标宋_GBK" w:cs="Times New Roman"/>
          <w:b/>
          <w:color w:val="auto"/>
          <w:sz w:val="28"/>
          <w:szCs w:val="28"/>
          <w:highlight w:val="none"/>
          <w:u w:val="single"/>
        </w:rPr>
        <w:t xml:space="preserve"> </w:t>
      </w:r>
      <w:r>
        <w:rPr>
          <w:rFonts w:hint="eastAsia" w:eastAsia="方正小标宋_GBK" w:cs="Times New Roman"/>
          <w:b/>
          <w:color w:val="auto"/>
          <w:sz w:val="28"/>
          <w:szCs w:val="28"/>
          <w:highlight w:val="none"/>
          <w:u w:val="single"/>
          <w:lang w:val="en-US" w:eastAsia="zh-CN"/>
        </w:rPr>
        <w:t xml:space="preserve">   </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日</w:t>
      </w:r>
    </w:p>
    <w:p w14:paraId="775E455D">
      <w:pPr>
        <w:jc w:val="center"/>
        <w:rPr>
          <w:rFonts w:hint="default" w:ascii="Times New Roman" w:hAnsi="Times New Roman" w:eastAsia="方正仿宋_GBK" w:cs="Times New Roman"/>
          <w:color w:val="auto"/>
          <w:sz w:val="36"/>
          <w:szCs w:val="32"/>
          <w:highlight w:val="none"/>
        </w:rPr>
      </w:pPr>
    </w:p>
    <w:p w14:paraId="63BEEC95">
      <w:pPr>
        <w:jc w:val="center"/>
        <w:rPr>
          <w:rFonts w:hint="default" w:ascii="Times New Roman" w:hAnsi="Times New Roman" w:eastAsia="方正仿宋_GBK" w:cs="Times New Roman"/>
          <w:color w:val="auto"/>
          <w:sz w:val="36"/>
          <w:szCs w:val="32"/>
          <w:highlight w:val="none"/>
        </w:rPr>
      </w:pPr>
    </w:p>
    <w:p w14:paraId="1F76218D">
      <w:pPr>
        <w:jc w:val="center"/>
        <w:rPr>
          <w:rFonts w:hint="default" w:ascii="Times New Roman" w:hAnsi="Times New Roman" w:eastAsia="方正仿宋_GBK" w:cs="Times New Roman"/>
          <w:color w:val="auto"/>
          <w:sz w:val="36"/>
          <w:szCs w:val="32"/>
          <w:highlight w:val="none"/>
        </w:rPr>
      </w:pPr>
    </w:p>
    <w:p w14:paraId="032B270C">
      <w:pPr>
        <w:jc w:val="center"/>
        <w:rPr>
          <w:rFonts w:hint="default" w:ascii="Times New Roman" w:hAnsi="Times New Roman" w:eastAsia="方正仿宋_GBK" w:cs="Times New Roman"/>
          <w:color w:val="auto"/>
          <w:sz w:val="36"/>
          <w:szCs w:val="32"/>
          <w:highlight w:val="none"/>
        </w:rPr>
      </w:pPr>
    </w:p>
    <w:p w14:paraId="50B117E9">
      <w:pPr>
        <w:jc w:val="center"/>
        <w:rPr>
          <w:rFonts w:hint="default" w:ascii="Times New Roman" w:hAnsi="Times New Roman" w:eastAsia="方正仿宋_GBK" w:cs="Times New Roman"/>
          <w:color w:val="auto"/>
          <w:sz w:val="36"/>
          <w:szCs w:val="32"/>
          <w:highlight w:val="none"/>
        </w:rPr>
      </w:pPr>
    </w:p>
    <w:p w14:paraId="30906BAC">
      <w:pPr>
        <w:jc w:val="center"/>
        <w:rPr>
          <w:rFonts w:hint="default" w:ascii="Times New Roman" w:hAnsi="Times New Roman" w:eastAsia="方正仿宋_GBK" w:cs="Times New Roman"/>
          <w:color w:val="auto"/>
          <w:sz w:val="36"/>
          <w:szCs w:val="32"/>
          <w:highlight w:val="none"/>
        </w:rPr>
      </w:pPr>
      <w:r>
        <w:rPr>
          <w:rFonts w:hint="default" w:ascii="Times New Roman" w:hAnsi="Times New Roman" w:eastAsia="方正仿宋_GBK" w:cs="Times New Roman"/>
          <w:color w:val="auto"/>
          <w:sz w:val="36"/>
          <w:szCs w:val="32"/>
          <w:highlight w:val="none"/>
        </w:rPr>
        <w:t>目录</w:t>
      </w:r>
    </w:p>
    <w:p w14:paraId="2162E1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（本目录为格式，要求投标人在投标文件</w:t>
      </w:r>
      <w:r>
        <w:rPr>
          <w:rFonts w:hint="eastAsia" w:eastAsia="方正仿宋_GBK" w:cs="Times New Roman"/>
          <w:color w:val="auto"/>
          <w:sz w:val="24"/>
          <w:szCs w:val="24"/>
          <w:highlight w:val="none"/>
          <w:lang w:eastAsia="zh-CN"/>
        </w:rPr>
        <w:t>装订过程中按以下顺序装订，可标记页码</w:t>
      </w:r>
      <w:r>
        <w:rPr>
          <w:rFonts w:hint="default" w:ascii="Times New Roman" w:hAnsi="Times New Roman" w:eastAsia="方正仿宋_GBK" w:cs="Times New Roman"/>
          <w:color w:val="auto"/>
          <w:sz w:val="24"/>
          <w:szCs w:val="24"/>
          <w:highlight w:val="none"/>
        </w:rPr>
        <w:t>）</w:t>
      </w:r>
    </w:p>
    <w:p w14:paraId="7BAD49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rPr>
      </w:pPr>
      <w:bookmarkStart w:id="30" w:name="_Toc184635138"/>
      <w:r>
        <w:rPr>
          <w:rFonts w:hint="eastAsia" w:eastAsia="方正仿宋_GBK" w:cs="Times New Roman"/>
          <w:color w:val="auto"/>
          <w:sz w:val="24"/>
          <w:szCs w:val="24"/>
          <w:highlight w:val="none"/>
          <w:lang w:val="en-US" w:eastAsia="zh-CN"/>
        </w:rPr>
        <w:t>一、</w:t>
      </w:r>
      <w:r>
        <w:rPr>
          <w:rFonts w:hint="default" w:ascii="Times New Roman" w:hAnsi="Times New Roman" w:eastAsia="方正仿宋_GBK" w:cs="Times New Roman"/>
          <w:color w:val="auto"/>
          <w:sz w:val="24"/>
          <w:szCs w:val="24"/>
          <w:highlight w:val="none"/>
        </w:rPr>
        <w:t>投标函</w:t>
      </w:r>
    </w:p>
    <w:p w14:paraId="64B100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二、</w:t>
      </w:r>
      <w:r>
        <w:rPr>
          <w:rFonts w:hint="default" w:ascii="Times New Roman" w:hAnsi="Times New Roman" w:eastAsia="方正仿宋_GBK" w:cs="Times New Roman"/>
          <w:color w:val="auto"/>
          <w:sz w:val="24"/>
          <w:szCs w:val="24"/>
          <w:highlight w:val="none"/>
          <w:lang w:val="en-US" w:eastAsia="zh-CN"/>
        </w:rPr>
        <w:t>商务及</w:t>
      </w:r>
      <w:r>
        <w:rPr>
          <w:rFonts w:hint="eastAsia" w:eastAsia="方正仿宋_GBK" w:cs="Times New Roman"/>
          <w:color w:val="auto"/>
          <w:sz w:val="24"/>
          <w:szCs w:val="24"/>
          <w:highlight w:val="none"/>
          <w:lang w:val="en-US" w:eastAsia="zh-CN"/>
        </w:rPr>
        <w:t>资质</w:t>
      </w:r>
      <w:r>
        <w:rPr>
          <w:rFonts w:hint="default" w:ascii="Times New Roman" w:hAnsi="Times New Roman" w:eastAsia="方正仿宋_GBK" w:cs="Times New Roman"/>
          <w:color w:val="auto"/>
          <w:sz w:val="24"/>
          <w:szCs w:val="24"/>
          <w:highlight w:val="none"/>
          <w:lang w:val="en-US" w:eastAsia="zh-CN"/>
        </w:rPr>
        <w:t>证明文件</w:t>
      </w:r>
    </w:p>
    <w:p w14:paraId="1336539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营业执照</w:t>
      </w:r>
    </w:p>
    <w:p w14:paraId="383B76F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开户许可证</w:t>
      </w:r>
    </w:p>
    <w:p w14:paraId="14D0DFC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法人代表授权书（原件）</w:t>
      </w:r>
    </w:p>
    <w:p w14:paraId="21B93DF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被授权人身份证</w:t>
      </w:r>
      <w:r>
        <w:rPr>
          <w:rFonts w:hint="default" w:ascii="Times New Roman" w:hAnsi="Times New Roman" w:eastAsia="方正仿宋_GBK" w:cs="Times New Roman"/>
          <w:color w:val="auto"/>
          <w:sz w:val="24"/>
          <w:szCs w:val="24"/>
          <w:highlight w:val="none"/>
          <w:lang w:val="en-US" w:eastAsia="zh-CN"/>
        </w:rPr>
        <w:t>明</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复印</w:t>
      </w:r>
      <w:r>
        <w:rPr>
          <w:rFonts w:hint="default" w:ascii="Times New Roman" w:hAnsi="Times New Roman" w:eastAsia="方正仿宋_GBK" w:cs="Times New Roman"/>
          <w:color w:val="auto"/>
          <w:sz w:val="24"/>
          <w:szCs w:val="24"/>
          <w:highlight w:val="none"/>
        </w:rPr>
        <w:t>件）</w:t>
      </w:r>
    </w:p>
    <w:p w14:paraId="63B16CF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业绩经验（提供相关业绩合同复印件及合同执行完毕证明文件）</w:t>
      </w:r>
    </w:p>
    <w:p w14:paraId="37C866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i w:val="0"/>
          <w:iCs w:val="0"/>
          <w:caps w:val="0"/>
          <w:color w:val="auto"/>
          <w:spacing w:val="0"/>
          <w:sz w:val="24"/>
          <w:szCs w:val="24"/>
          <w:highlight w:val="none"/>
          <w:lang w:val="en-US" w:eastAsia="zh-CN"/>
        </w:rPr>
        <w:t>6.</w:t>
      </w:r>
      <w:r>
        <w:rPr>
          <w:rFonts w:hint="default" w:ascii="Times New Roman" w:hAnsi="Times New Roman" w:eastAsia="方正仿宋_GBK" w:cs="Times New Roman"/>
          <w:b w:val="0"/>
          <w:bCs w:val="0"/>
          <w:color w:val="auto"/>
          <w:sz w:val="24"/>
          <w:szCs w:val="24"/>
          <w:highlight w:val="none"/>
          <w:lang w:val="en-US" w:eastAsia="zh-CN"/>
        </w:rPr>
        <w:t>投标方认为必要的其它证明文件（如市级</w:t>
      </w:r>
      <w:r>
        <w:rPr>
          <w:rFonts w:hint="eastAsia" w:ascii="Times New Roman" w:hAnsi="Times New Roman" w:eastAsia="方正仿宋_GBK" w:cs="Times New Roman"/>
          <w:b w:val="0"/>
          <w:bCs w:val="0"/>
          <w:color w:val="auto"/>
          <w:sz w:val="24"/>
          <w:szCs w:val="24"/>
          <w:highlight w:val="none"/>
          <w:lang w:val="en-US" w:eastAsia="zh-CN"/>
        </w:rPr>
        <w:t>及</w:t>
      </w:r>
      <w:r>
        <w:rPr>
          <w:rFonts w:hint="default" w:ascii="Times New Roman" w:hAnsi="Times New Roman" w:eastAsia="方正仿宋_GBK" w:cs="Times New Roman"/>
          <w:b w:val="0"/>
          <w:bCs w:val="0"/>
          <w:color w:val="auto"/>
          <w:sz w:val="24"/>
          <w:szCs w:val="24"/>
          <w:highlight w:val="none"/>
          <w:lang w:val="en-US" w:eastAsia="zh-CN"/>
        </w:rPr>
        <w:t>以上认定</w:t>
      </w:r>
      <w:r>
        <w:rPr>
          <w:rFonts w:hint="eastAsia" w:ascii="Times New Roman" w:hAnsi="Times New Roman" w:eastAsia="方正仿宋_GBK" w:cs="Times New Roman"/>
          <w:b w:val="0"/>
          <w:bCs w:val="0"/>
          <w:color w:val="auto"/>
          <w:sz w:val="24"/>
          <w:szCs w:val="24"/>
          <w:highlight w:val="none"/>
          <w:lang w:val="en-US" w:eastAsia="zh-CN"/>
        </w:rPr>
        <w:t>的</w:t>
      </w:r>
      <w:r>
        <w:rPr>
          <w:rFonts w:hint="default" w:ascii="Times New Roman" w:hAnsi="Times New Roman" w:eastAsia="方正仿宋_GBK" w:cs="Times New Roman"/>
          <w:b w:val="0"/>
          <w:bCs w:val="0"/>
          <w:color w:val="auto"/>
          <w:sz w:val="24"/>
          <w:szCs w:val="24"/>
          <w:highlight w:val="none"/>
          <w:lang w:val="en-US" w:eastAsia="zh-CN"/>
        </w:rPr>
        <w:t>行业资质证明材料）。</w:t>
      </w:r>
    </w:p>
    <w:p w14:paraId="594837A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14:paraId="494899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eastAsia" w:eastAsia="方正仿宋_GBK" w:cs="Times New Roman"/>
          <w:i w:val="0"/>
          <w:iCs w:val="0"/>
          <w:caps w:val="0"/>
          <w:color w:val="auto"/>
          <w:spacing w:val="0"/>
          <w:sz w:val="24"/>
          <w:szCs w:val="24"/>
          <w:highlight w:val="none"/>
          <w:lang w:val="en-US" w:eastAsia="zh-CN"/>
        </w:rPr>
        <w:t>三</w:t>
      </w:r>
      <w:r>
        <w:rPr>
          <w:rFonts w:hint="eastAsia" w:ascii="Times New Roman" w:hAnsi="Times New Roman" w:eastAsia="方正仿宋_GBK" w:cs="Times New Roman"/>
          <w:i w:val="0"/>
          <w:iCs w:val="0"/>
          <w:caps w:val="0"/>
          <w:color w:val="auto"/>
          <w:spacing w:val="0"/>
          <w:sz w:val="24"/>
          <w:szCs w:val="24"/>
          <w:highlight w:val="none"/>
          <w:lang w:val="en-US" w:eastAsia="zh-CN"/>
        </w:rPr>
        <w:t>、投标一览表</w:t>
      </w:r>
    </w:p>
    <w:p w14:paraId="72E46F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eastAsia" w:eastAsia="方正仿宋_GBK" w:cs="Times New Roman"/>
          <w:i w:val="0"/>
          <w:iCs w:val="0"/>
          <w:caps w:val="0"/>
          <w:color w:val="auto"/>
          <w:spacing w:val="0"/>
          <w:sz w:val="24"/>
          <w:szCs w:val="24"/>
          <w:highlight w:val="none"/>
          <w:lang w:val="en-US" w:eastAsia="zh-CN"/>
        </w:rPr>
        <w:t>四</w:t>
      </w:r>
      <w:r>
        <w:rPr>
          <w:rFonts w:hint="default" w:ascii="Times New Roman" w:hAnsi="Times New Roman" w:eastAsia="方正仿宋_GBK" w:cs="Times New Roman"/>
          <w:i w:val="0"/>
          <w:iCs w:val="0"/>
          <w:caps w:val="0"/>
          <w:color w:val="auto"/>
          <w:spacing w:val="0"/>
          <w:sz w:val="24"/>
          <w:szCs w:val="24"/>
          <w:highlight w:val="none"/>
          <w:lang w:val="en-US" w:eastAsia="zh-CN"/>
        </w:rPr>
        <w:t>、其他</w:t>
      </w:r>
    </w:p>
    <w:p w14:paraId="729102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rPr>
        <w:sectPr>
          <w:pgSz w:w="11906" w:h="16838"/>
          <w:pgMar w:top="1440" w:right="1274"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125213ED">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一、投标函及投标函附录</w:t>
      </w:r>
      <w:bookmarkEnd w:id="30"/>
    </w:p>
    <w:p w14:paraId="064F23BD">
      <w:pPr>
        <w:pStyle w:val="5"/>
        <w:spacing w:before="0" w:after="0" w:line="240" w:lineRule="auto"/>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（一）投标函</w:t>
      </w:r>
    </w:p>
    <w:p w14:paraId="37CA10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致：</w:t>
      </w:r>
      <w:r>
        <w:rPr>
          <w:rFonts w:hint="eastAsia" w:eastAsia="方正仿宋_GBK" w:cs="Times New Roman"/>
          <w:color w:val="auto"/>
          <w:sz w:val="24"/>
          <w:szCs w:val="24"/>
          <w:highlight w:val="none"/>
          <w:u w:val="single"/>
          <w:lang w:eastAsia="zh-CN"/>
        </w:rPr>
        <w:t>重庆市种畜场</w:t>
      </w:r>
      <w:r>
        <w:rPr>
          <w:rFonts w:hint="eastAsia" w:eastAsia="方正仿宋_GBK" w:cs="Times New Roman"/>
          <w:color w:val="auto"/>
          <w:sz w:val="24"/>
          <w:szCs w:val="24"/>
          <w:highlight w:val="none"/>
          <w:u w:val="none"/>
          <w:lang w:eastAsia="zh-CN"/>
        </w:rPr>
        <w:t>：</w:t>
      </w:r>
    </w:p>
    <w:p w14:paraId="4AFBA0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1.我方已仔细研究了</w:t>
      </w:r>
      <w:r>
        <w:rPr>
          <w:rFonts w:hint="default" w:ascii="Times New Roman" w:hAnsi="Times New Roman" w:eastAsia="方正仿宋_GBK" w:cs="Times New Roman"/>
          <w:color w:val="auto"/>
          <w:sz w:val="24"/>
          <w:szCs w:val="24"/>
          <w:highlight w:val="none"/>
          <w:lang w:val="en-US" w:eastAsia="zh-CN"/>
        </w:rPr>
        <w:t>巨星花园A区</w:t>
      </w:r>
      <w:r>
        <w:rPr>
          <w:rFonts w:hint="eastAsia" w:ascii="Times New Roman" w:hAnsi="Times New Roman" w:eastAsia="方正仿宋_GBK" w:cs="Times New Roman"/>
          <w:color w:val="auto"/>
          <w:sz w:val="24"/>
          <w:szCs w:val="24"/>
          <w:highlight w:val="none"/>
          <w:lang w:val="en-US" w:eastAsia="zh-CN"/>
        </w:rPr>
        <w:t>1-7单元</w:t>
      </w:r>
      <w:r>
        <w:rPr>
          <w:rFonts w:hint="default" w:ascii="Times New Roman" w:hAnsi="Times New Roman" w:eastAsia="方正仿宋_GBK" w:cs="Times New Roman"/>
          <w:color w:val="auto"/>
          <w:sz w:val="24"/>
          <w:szCs w:val="24"/>
          <w:highlight w:val="none"/>
          <w:lang w:val="en-US" w:eastAsia="zh-CN"/>
        </w:rPr>
        <w:t>电梯维护保养服务外包采购项目</w:t>
      </w:r>
      <w:r>
        <w:rPr>
          <w:rFonts w:hint="default" w:ascii="Times New Roman" w:hAnsi="Times New Roman" w:eastAsia="方正仿宋_GBK" w:cs="Times New Roman"/>
          <w:color w:val="auto"/>
          <w:sz w:val="24"/>
          <w:szCs w:val="24"/>
          <w:highlight w:val="none"/>
          <w:lang w:val="en-US" w:eastAsia="zh-CN"/>
        </w:rPr>
        <w:t>公开比选文件的全部内容，愿意以</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none"/>
          <w:lang w:val="en-US" w:eastAsia="zh-CN"/>
        </w:rPr>
        <w:t>万</w:t>
      </w:r>
      <w:r>
        <w:rPr>
          <w:rFonts w:hint="default" w:ascii="Times New Roman" w:hAnsi="Times New Roman" w:eastAsia="方正仿宋_GBK" w:cs="Times New Roman"/>
          <w:color w:val="auto"/>
          <w:sz w:val="24"/>
          <w:szCs w:val="24"/>
          <w:highlight w:val="none"/>
        </w:rPr>
        <w:t>元</w:t>
      </w:r>
      <w:r>
        <w:rPr>
          <w:rFonts w:hint="default" w:ascii="Times New Roman" w:hAnsi="Times New Roman" w:eastAsia="方正仿宋_GBK" w:cs="Times New Roman"/>
          <w:color w:val="auto"/>
          <w:sz w:val="24"/>
          <w:szCs w:val="24"/>
          <w:highlight w:val="none"/>
          <w:lang w:val="en-US" w:eastAsia="zh-CN"/>
        </w:rPr>
        <w:t>/年</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叁年共计</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万元</w:t>
      </w:r>
      <w:r>
        <w:rPr>
          <w:rFonts w:hint="eastAsia" w:ascii="Times New Roman" w:hAnsi="Times New Roman" w:eastAsia="方正仿宋_GBK" w:cs="Times New Roman"/>
          <w:color w:val="auto"/>
          <w:sz w:val="24"/>
          <w:szCs w:val="24"/>
          <w:highlight w:val="none"/>
          <w:lang w:val="en-US" w:eastAsia="zh-CN"/>
        </w:rPr>
        <w:t>（含税）</w:t>
      </w:r>
      <w:r>
        <w:rPr>
          <w:rFonts w:hint="default" w:ascii="Times New Roman" w:hAnsi="Times New Roman"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并</w:t>
      </w:r>
      <w:r>
        <w:rPr>
          <w:rFonts w:hint="default" w:ascii="Times New Roman" w:hAnsi="Times New Roman" w:eastAsia="方正仿宋_GBK" w:cs="Times New Roman"/>
          <w:color w:val="auto"/>
          <w:sz w:val="24"/>
          <w:szCs w:val="24"/>
          <w:highlight w:val="none"/>
        </w:rPr>
        <w:t>按合同约定实施和完成</w:t>
      </w:r>
      <w:r>
        <w:rPr>
          <w:rFonts w:hint="eastAsia" w:ascii="Times New Roman" w:hAnsi="Times New Roman" w:eastAsia="方正仿宋_GBK" w:cs="Times New Roman"/>
          <w:color w:val="auto"/>
          <w:sz w:val="24"/>
          <w:szCs w:val="24"/>
          <w:highlight w:val="none"/>
          <w:lang w:val="en-US" w:eastAsia="zh-CN"/>
        </w:rPr>
        <w:t>贵场巨星花园A区1-7单元</w:t>
      </w:r>
      <w:r>
        <w:rPr>
          <w:rFonts w:hint="default" w:ascii="Times New Roman" w:hAnsi="Times New Roman" w:eastAsia="方正仿宋_GBK" w:cs="Times New Roman"/>
          <w:color w:val="auto"/>
          <w:sz w:val="24"/>
          <w:szCs w:val="24"/>
          <w:highlight w:val="none"/>
          <w:lang w:val="en-US" w:eastAsia="zh-CN"/>
        </w:rPr>
        <w:t>电梯维护保养服务</w:t>
      </w:r>
      <w:r>
        <w:rPr>
          <w:rFonts w:hint="default" w:ascii="Times New Roman" w:hAnsi="Times New Roman" w:eastAsia="方正仿宋_GBK" w:cs="Times New Roman"/>
          <w:color w:val="auto"/>
          <w:sz w:val="24"/>
          <w:szCs w:val="24"/>
          <w:highlight w:val="none"/>
          <w:lang w:eastAsia="zh-CN"/>
        </w:rPr>
        <w:t>项目</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完成各项文件编制</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并配合完成其他相关服务项目</w:t>
      </w:r>
      <w:r>
        <w:rPr>
          <w:rFonts w:hint="default" w:ascii="Times New Roman" w:hAnsi="Times New Roman" w:eastAsia="方正仿宋_GBK" w:cs="Times New Roman"/>
          <w:color w:val="auto"/>
          <w:sz w:val="24"/>
          <w:szCs w:val="24"/>
          <w:highlight w:val="none"/>
        </w:rPr>
        <w:t>。</w:t>
      </w:r>
    </w:p>
    <w:p w14:paraId="19C56AA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我方承诺在投标有效期内不修改、撤销投标文件。</w:t>
      </w:r>
    </w:p>
    <w:p w14:paraId="4F96B4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如我方中标：</w:t>
      </w:r>
    </w:p>
    <w:p w14:paraId="694596C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我方承诺在收到中标通知后，在中标通知规定的期限内与你方签订合同。</w:t>
      </w:r>
    </w:p>
    <w:p w14:paraId="00E6B0C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随同本投标函递交的投标函附录属于合同文件的组成部分。</w:t>
      </w:r>
    </w:p>
    <w:p w14:paraId="144F7FB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我方承诺按照招标文件规定向你方递交履约担保。</w:t>
      </w:r>
    </w:p>
    <w:p w14:paraId="02BC9E2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我方承诺在合同约定的期限内完成并移交全部合同</w:t>
      </w:r>
      <w:r>
        <w:rPr>
          <w:rFonts w:hint="default" w:ascii="Times New Roman" w:hAnsi="Times New Roman" w:eastAsia="方正仿宋_GBK" w:cs="Times New Roman"/>
          <w:color w:val="auto"/>
          <w:sz w:val="24"/>
          <w:szCs w:val="24"/>
          <w:highlight w:val="none"/>
          <w:lang w:val="en-US" w:eastAsia="zh-CN"/>
        </w:rPr>
        <w:t>内容</w:t>
      </w:r>
      <w:r>
        <w:rPr>
          <w:rFonts w:hint="default" w:ascii="Times New Roman" w:hAnsi="Times New Roman" w:eastAsia="方正仿宋_GBK" w:cs="Times New Roman"/>
          <w:color w:val="auto"/>
          <w:sz w:val="24"/>
          <w:szCs w:val="24"/>
          <w:highlight w:val="none"/>
        </w:rPr>
        <w:t>。</w:t>
      </w:r>
    </w:p>
    <w:p w14:paraId="2A3AD10B">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我方在此声明，所递交的投标文件及有关资料内容完整、真实</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有效，并负责承担因虚假、不实带来的经济、法律责任。</w:t>
      </w:r>
    </w:p>
    <w:p w14:paraId="1EFB3C8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如本</w:t>
      </w:r>
      <w:r>
        <w:rPr>
          <w:rFonts w:hint="default" w:ascii="Times New Roman" w:hAnsi="Times New Roman" w:eastAsia="方正仿宋_GBK" w:cs="Times New Roman"/>
          <w:color w:val="auto"/>
          <w:sz w:val="24"/>
          <w:szCs w:val="24"/>
          <w:highlight w:val="none"/>
          <w:lang w:eastAsia="zh-CN"/>
        </w:rPr>
        <w:t>投标</w:t>
      </w:r>
      <w:r>
        <w:rPr>
          <w:rFonts w:hint="default" w:ascii="Times New Roman" w:hAnsi="Times New Roman" w:eastAsia="方正仿宋_GBK" w:cs="Times New Roman"/>
          <w:color w:val="auto"/>
          <w:sz w:val="24"/>
          <w:szCs w:val="24"/>
          <w:highlight w:val="none"/>
        </w:rPr>
        <w:t>人中标，在合同协议书正式签署生效之前，本投标函连同你方的中标通知书将构成</w:t>
      </w:r>
      <w:r>
        <w:rPr>
          <w:rFonts w:hint="eastAsia" w:ascii="Times New Roman" w:hAnsi="Times New Roman" w:eastAsia="方正仿宋_GBK" w:cs="Times New Roman"/>
          <w:color w:val="auto"/>
          <w:sz w:val="24"/>
          <w:szCs w:val="24"/>
          <w:highlight w:val="none"/>
          <w:lang w:val="en-US" w:eastAsia="zh-CN"/>
        </w:rPr>
        <w:t>贵我</w:t>
      </w:r>
      <w:r>
        <w:rPr>
          <w:rFonts w:hint="default" w:ascii="Times New Roman" w:hAnsi="Times New Roman" w:eastAsia="方正仿宋_GBK" w:cs="Times New Roman"/>
          <w:color w:val="auto"/>
          <w:sz w:val="24"/>
          <w:szCs w:val="24"/>
          <w:highlight w:val="none"/>
        </w:rPr>
        <w:t>双方之间共同遵守的文件，对双方具有约束力。</w:t>
      </w:r>
    </w:p>
    <w:p w14:paraId="6638FC94">
      <w:pPr>
        <w:keepNext w:val="0"/>
        <w:keepLines w:val="0"/>
        <w:pageBreakBefore w:val="0"/>
        <w:widowControl w:val="0"/>
        <w:kinsoku/>
        <w:wordWrap/>
        <w:overflowPunct/>
        <w:topLinePunct w:val="0"/>
        <w:autoSpaceDE/>
        <w:autoSpaceDN/>
        <w:bidi w:val="0"/>
        <w:adjustRightInd/>
        <w:snapToGrid/>
        <w:spacing w:line="520" w:lineRule="exact"/>
        <w:ind w:firstLine="4080" w:firstLineChars="17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（盖单位章）</w:t>
      </w:r>
    </w:p>
    <w:p w14:paraId="46827AE9">
      <w:pPr>
        <w:keepNext w:val="0"/>
        <w:keepLines w:val="0"/>
        <w:pageBreakBefore w:val="0"/>
        <w:widowControl w:val="0"/>
        <w:kinsoku/>
        <w:wordWrap/>
        <w:overflowPunct/>
        <w:topLinePunct w:val="0"/>
        <w:autoSpaceDE/>
        <w:autoSpaceDN/>
        <w:bidi w:val="0"/>
        <w:adjustRightInd/>
        <w:snapToGrid/>
        <w:spacing w:line="520" w:lineRule="exact"/>
        <w:ind w:firstLine="4080" w:firstLineChars="17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（签字）</w:t>
      </w:r>
    </w:p>
    <w:p w14:paraId="5A13D2F6">
      <w:pPr>
        <w:keepNext w:val="0"/>
        <w:keepLines w:val="0"/>
        <w:pageBreakBefore w:val="0"/>
        <w:widowControl w:val="0"/>
        <w:kinsoku/>
        <w:wordWrap/>
        <w:overflowPunct/>
        <w:topLinePunct w:val="0"/>
        <w:autoSpaceDE/>
        <w:autoSpaceDN/>
        <w:bidi w:val="0"/>
        <w:adjustRightInd/>
        <w:snapToGrid/>
        <w:spacing w:line="52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地址：</w:t>
      </w:r>
      <w:r>
        <w:rPr>
          <w:rFonts w:hint="default" w:ascii="Times New Roman" w:hAnsi="Times New Roman" w:eastAsia="方正仿宋_GBK" w:cs="Times New Roman"/>
          <w:color w:val="auto"/>
          <w:sz w:val="24"/>
          <w:szCs w:val="24"/>
          <w:highlight w:val="none"/>
          <w:u w:val="single"/>
        </w:rPr>
        <w:t xml:space="preserve">                                 </w:t>
      </w:r>
    </w:p>
    <w:p w14:paraId="59EDA389">
      <w:pPr>
        <w:keepNext w:val="0"/>
        <w:keepLines w:val="0"/>
        <w:pageBreakBefore w:val="0"/>
        <w:widowControl w:val="0"/>
        <w:kinsoku/>
        <w:wordWrap/>
        <w:overflowPunct/>
        <w:topLinePunct w:val="0"/>
        <w:autoSpaceDE/>
        <w:autoSpaceDN/>
        <w:bidi w:val="0"/>
        <w:adjustRightInd/>
        <w:snapToGrid/>
        <w:spacing w:line="52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电话：</w:t>
      </w:r>
      <w:r>
        <w:rPr>
          <w:rFonts w:hint="default" w:ascii="Times New Roman" w:hAnsi="Times New Roman" w:eastAsia="方正仿宋_GBK" w:cs="Times New Roman"/>
          <w:color w:val="auto"/>
          <w:sz w:val="24"/>
          <w:szCs w:val="24"/>
          <w:highlight w:val="none"/>
          <w:u w:val="single"/>
        </w:rPr>
        <w:t xml:space="preserve">                                 </w:t>
      </w:r>
    </w:p>
    <w:p w14:paraId="47AA5454">
      <w:pPr>
        <w:keepNext w:val="0"/>
        <w:keepLines w:val="0"/>
        <w:pageBreakBefore w:val="0"/>
        <w:widowControl w:val="0"/>
        <w:kinsoku/>
        <w:wordWrap/>
        <w:overflowPunct/>
        <w:topLinePunct w:val="0"/>
        <w:autoSpaceDE/>
        <w:autoSpaceDN/>
        <w:bidi w:val="0"/>
        <w:adjustRightInd/>
        <w:snapToGrid/>
        <w:spacing w:line="52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日</w:t>
      </w:r>
    </w:p>
    <w:p w14:paraId="7A9D1758">
      <w:pPr>
        <w:pStyle w:val="5"/>
        <w:spacing w:before="0" w:after="0" w:line="240" w:lineRule="auto"/>
        <w:jc w:val="center"/>
        <w:rPr>
          <w:rFonts w:hint="default" w:ascii="Times New Roman" w:hAnsi="Times New Roman" w:eastAsia="方正仿宋_GBK" w:cs="Times New Roman"/>
          <w:color w:val="auto"/>
          <w:highlight w:val="none"/>
        </w:rPr>
        <w:sectPr>
          <w:pgSz w:w="11906" w:h="16838"/>
          <w:pgMar w:top="1440" w:right="1274"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039A1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黑体_GBK" w:cs="Times New Roman"/>
          <w:b/>
          <w:bCs/>
          <w:color w:val="auto"/>
          <w:sz w:val="36"/>
          <w:szCs w:val="32"/>
          <w:highlight w:val="none"/>
          <w:lang w:val="en-US" w:eastAsia="zh-CN"/>
        </w:rPr>
        <w:t>二、商务及资</w:t>
      </w:r>
      <w:r>
        <w:rPr>
          <w:rFonts w:hint="eastAsia" w:eastAsia="方正黑体_GBK" w:cs="Times New Roman"/>
          <w:b/>
          <w:bCs/>
          <w:color w:val="auto"/>
          <w:sz w:val="36"/>
          <w:szCs w:val="32"/>
          <w:highlight w:val="none"/>
          <w:lang w:val="en-US" w:eastAsia="zh-CN"/>
        </w:rPr>
        <w:t>质</w:t>
      </w:r>
      <w:r>
        <w:rPr>
          <w:rFonts w:hint="default" w:ascii="Times New Roman" w:hAnsi="Times New Roman" w:eastAsia="方正黑体_GBK" w:cs="Times New Roman"/>
          <w:b/>
          <w:bCs/>
          <w:color w:val="auto"/>
          <w:sz w:val="36"/>
          <w:szCs w:val="32"/>
          <w:highlight w:val="none"/>
          <w:lang w:val="en-US" w:eastAsia="zh-CN"/>
        </w:rPr>
        <w:t>证明文件</w:t>
      </w:r>
    </w:p>
    <w:p w14:paraId="44233F6D">
      <w:pPr>
        <w:jc w:val="center"/>
        <w:rPr>
          <w:rFonts w:hint="default" w:ascii="Times New Roman" w:hAnsi="Times New Roman" w:eastAsia="宋体" w:cs="Times New Roman"/>
          <w:b/>
          <w:bCs/>
          <w:color w:val="auto"/>
          <w:sz w:val="36"/>
          <w:szCs w:val="32"/>
          <w:highlight w:val="none"/>
          <w:lang w:eastAsia="zh-CN"/>
        </w:rPr>
      </w:pPr>
    </w:p>
    <w:p w14:paraId="743C068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营业执照</w:t>
      </w:r>
    </w:p>
    <w:p w14:paraId="19EC6F52">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开户许可证</w:t>
      </w:r>
    </w:p>
    <w:p w14:paraId="79277457">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法人代表授权书（原件）</w:t>
      </w:r>
    </w:p>
    <w:p w14:paraId="1CFE6771">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被授权人身份证</w:t>
      </w:r>
      <w:r>
        <w:rPr>
          <w:rFonts w:hint="default" w:ascii="Times New Roman" w:hAnsi="Times New Roman" w:eastAsia="方正仿宋_GBK" w:cs="Times New Roman"/>
          <w:color w:val="auto"/>
          <w:sz w:val="24"/>
          <w:szCs w:val="24"/>
          <w:highlight w:val="none"/>
          <w:lang w:val="en-US" w:eastAsia="zh-CN"/>
        </w:rPr>
        <w:t>明</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复印</w:t>
      </w:r>
      <w:r>
        <w:rPr>
          <w:rFonts w:hint="default" w:ascii="Times New Roman" w:hAnsi="Times New Roman" w:eastAsia="方正仿宋_GBK" w:cs="Times New Roman"/>
          <w:color w:val="auto"/>
          <w:sz w:val="24"/>
          <w:szCs w:val="24"/>
          <w:highlight w:val="none"/>
        </w:rPr>
        <w:t>件）</w:t>
      </w:r>
    </w:p>
    <w:p w14:paraId="00ED295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业绩经验（提供相关业绩合同复印件及合同执行完毕证明文件）</w:t>
      </w:r>
    </w:p>
    <w:p w14:paraId="509B49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i w:val="0"/>
          <w:iCs w:val="0"/>
          <w:caps w:val="0"/>
          <w:color w:val="auto"/>
          <w:spacing w:val="0"/>
          <w:sz w:val="24"/>
          <w:szCs w:val="24"/>
          <w:highlight w:val="none"/>
          <w:lang w:val="en-US" w:eastAsia="zh-CN"/>
        </w:rPr>
        <w:t>6.</w:t>
      </w:r>
      <w:r>
        <w:rPr>
          <w:rFonts w:hint="default" w:ascii="Times New Roman" w:hAnsi="Times New Roman" w:eastAsia="方正仿宋_GBK" w:cs="Times New Roman"/>
          <w:b w:val="0"/>
          <w:bCs w:val="0"/>
          <w:color w:val="auto"/>
          <w:sz w:val="24"/>
          <w:szCs w:val="24"/>
          <w:highlight w:val="none"/>
          <w:lang w:val="en-US" w:eastAsia="zh-CN"/>
        </w:rPr>
        <w:t>投标方认为必要的其它证明文件（如市级</w:t>
      </w:r>
      <w:r>
        <w:rPr>
          <w:rFonts w:hint="eastAsia" w:ascii="Times New Roman" w:hAnsi="Times New Roman" w:eastAsia="方正仿宋_GBK" w:cs="Times New Roman"/>
          <w:b w:val="0"/>
          <w:bCs w:val="0"/>
          <w:color w:val="auto"/>
          <w:sz w:val="24"/>
          <w:szCs w:val="24"/>
          <w:highlight w:val="none"/>
          <w:lang w:val="en-US" w:eastAsia="zh-CN"/>
        </w:rPr>
        <w:t>及</w:t>
      </w:r>
      <w:r>
        <w:rPr>
          <w:rFonts w:hint="default" w:ascii="Times New Roman" w:hAnsi="Times New Roman" w:eastAsia="方正仿宋_GBK" w:cs="Times New Roman"/>
          <w:b w:val="0"/>
          <w:bCs w:val="0"/>
          <w:color w:val="auto"/>
          <w:sz w:val="24"/>
          <w:szCs w:val="24"/>
          <w:highlight w:val="none"/>
          <w:lang w:val="en-US" w:eastAsia="zh-CN"/>
        </w:rPr>
        <w:t>以上认定</w:t>
      </w:r>
      <w:r>
        <w:rPr>
          <w:rFonts w:hint="eastAsia" w:ascii="Times New Roman" w:hAnsi="Times New Roman" w:eastAsia="方正仿宋_GBK" w:cs="Times New Roman"/>
          <w:b w:val="0"/>
          <w:bCs w:val="0"/>
          <w:color w:val="auto"/>
          <w:sz w:val="24"/>
          <w:szCs w:val="24"/>
          <w:highlight w:val="none"/>
          <w:lang w:val="en-US" w:eastAsia="zh-CN"/>
        </w:rPr>
        <w:t>的</w:t>
      </w:r>
      <w:r>
        <w:rPr>
          <w:rFonts w:hint="default" w:ascii="Times New Roman" w:hAnsi="Times New Roman" w:eastAsia="方正仿宋_GBK" w:cs="Times New Roman"/>
          <w:b w:val="0"/>
          <w:bCs w:val="0"/>
          <w:color w:val="auto"/>
          <w:sz w:val="24"/>
          <w:szCs w:val="24"/>
          <w:highlight w:val="none"/>
          <w:lang w:val="en-US" w:eastAsia="zh-CN"/>
        </w:rPr>
        <w:t>行业资质证明材料）。</w:t>
      </w:r>
    </w:p>
    <w:p w14:paraId="1D93C16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14:paraId="65A8DC01">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宋体" w:cs="Times New Roman"/>
          <w:b/>
          <w:bCs/>
          <w:color w:val="auto"/>
          <w:sz w:val="36"/>
          <w:szCs w:val="32"/>
          <w:highlight w:val="none"/>
        </w:rPr>
        <w:br w:type="page"/>
      </w:r>
      <w:r>
        <w:rPr>
          <w:rFonts w:hint="default" w:ascii="Times New Roman" w:hAnsi="Times New Roman" w:eastAsia="方正黑体_GBK" w:cs="Times New Roman"/>
          <w:b/>
          <w:bCs/>
          <w:color w:val="auto"/>
          <w:sz w:val="36"/>
          <w:szCs w:val="32"/>
          <w:highlight w:val="none"/>
        </w:rPr>
        <w:t>1、营业执照</w:t>
      </w:r>
    </w:p>
    <w:p w14:paraId="4795258E">
      <w:pPr>
        <w:jc w:val="center"/>
        <w:rPr>
          <w:rFonts w:hint="default" w:ascii="Times New Roman" w:hAnsi="Times New Roman" w:eastAsia="方正黑体_GBK" w:cs="Times New Roman"/>
          <w:b/>
          <w:bCs/>
          <w:color w:val="auto"/>
          <w:sz w:val="36"/>
          <w:szCs w:val="32"/>
          <w:highlight w:val="none"/>
        </w:rPr>
      </w:pPr>
    </w:p>
    <w:p w14:paraId="2BDC473B">
      <w:pPr>
        <w:jc w:val="center"/>
        <w:rPr>
          <w:rFonts w:hint="default" w:ascii="Times New Roman" w:hAnsi="Times New Roman" w:eastAsia="方正黑体_GBK" w:cs="Times New Roman"/>
          <w:b/>
          <w:bCs/>
          <w:color w:val="auto"/>
          <w:sz w:val="36"/>
          <w:szCs w:val="32"/>
          <w:highlight w:val="none"/>
        </w:rPr>
      </w:pPr>
    </w:p>
    <w:p w14:paraId="6BE49261">
      <w:pPr>
        <w:jc w:val="center"/>
        <w:rPr>
          <w:rFonts w:hint="default" w:ascii="Times New Roman" w:hAnsi="Times New Roman" w:eastAsia="方正黑体_GBK" w:cs="Times New Roman"/>
          <w:b/>
          <w:bCs/>
          <w:color w:val="auto"/>
          <w:sz w:val="36"/>
          <w:szCs w:val="32"/>
          <w:highlight w:val="none"/>
        </w:rPr>
      </w:pPr>
    </w:p>
    <w:p w14:paraId="63AC7436">
      <w:pPr>
        <w:jc w:val="center"/>
        <w:rPr>
          <w:rFonts w:hint="default" w:ascii="Times New Roman" w:hAnsi="Times New Roman" w:eastAsia="方正黑体_GBK" w:cs="Times New Roman"/>
          <w:b/>
          <w:bCs/>
          <w:color w:val="auto"/>
          <w:sz w:val="36"/>
          <w:szCs w:val="32"/>
          <w:highlight w:val="none"/>
        </w:rPr>
      </w:pPr>
    </w:p>
    <w:p w14:paraId="1DA72D85">
      <w:pPr>
        <w:jc w:val="center"/>
        <w:rPr>
          <w:rFonts w:hint="default" w:ascii="Times New Roman" w:hAnsi="Times New Roman" w:eastAsia="方正黑体_GBK" w:cs="Times New Roman"/>
          <w:b/>
          <w:bCs/>
          <w:color w:val="auto"/>
          <w:sz w:val="36"/>
          <w:szCs w:val="32"/>
          <w:highlight w:val="none"/>
        </w:rPr>
      </w:pPr>
    </w:p>
    <w:p w14:paraId="052BC999">
      <w:pPr>
        <w:jc w:val="center"/>
        <w:rPr>
          <w:rFonts w:hint="default" w:ascii="Times New Roman" w:hAnsi="Times New Roman" w:eastAsia="方正黑体_GBK" w:cs="Times New Roman"/>
          <w:b/>
          <w:bCs/>
          <w:color w:val="auto"/>
          <w:sz w:val="36"/>
          <w:szCs w:val="32"/>
          <w:highlight w:val="none"/>
        </w:rPr>
      </w:pPr>
    </w:p>
    <w:p w14:paraId="67635F27">
      <w:pPr>
        <w:jc w:val="center"/>
        <w:rPr>
          <w:rFonts w:hint="default" w:ascii="Times New Roman" w:hAnsi="Times New Roman" w:eastAsia="方正黑体_GBK" w:cs="Times New Roman"/>
          <w:b/>
          <w:bCs/>
          <w:color w:val="auto"/>
          <w:sz w:val="36"/>
          <w:szCs w:val="32"/>
          <w:highlight w:val="none"/>
        </w:rPr>
      </w:pPr>
    </w:p>
    <w:p w14:paraId="1E8222A8">
      <w:pPr>
        <w:jc w:val="center"/>
        <w:rPr>
          <w:rFonts w:hint="default" w:ascii="Times New Roman" w:hAnsi="Times New Roman" w:eastAsia="方正黑体_GBK" w:cs="Times New Roman"/>
          <w:b/>
          <w:bCs/>
          <w:color w:val="auto"/>
          <w:sz w:val="36"/>
          <w:szCs w:val="32"/>
          <w:highlight w:val="none"/>
        </w:rPr>
      </w:pPr>
    </w:p>
    <w:p w14:paraId="19A10F12">
      <w:pPr>
        <w:jc w:val="center"/>
        <w:rPr>
          <w:rFonts w:hint="default" w:ascii="Times New Roman" w:hAnsi="Times New Roman" w:eastAsia="方正黑体_GBK" w:cs="Times New Roman"/>
          <w:b/>
          <w:bCs/>
          <w:color w:val="auto"/>
          <w:sz w:val="36"/>
          <w:szCs w:val="32"/>
          <w:highlight w:val="none"/>
        </w:rPr>
      </w:pPr>
    </w:p>
    <w:p w14:paraId="61AEB38B">
      <w:pPr>
        <w:jc w:val="center"/>
        <w:rPr>
          <w:rFonts w:hint="default" w:ascii="Times New Roman" w:hAnsi="Times New Roman" w:eastAsia="方正黑体_GBK" w:cs="Times New Roman"/>
          <w:b/>
          <w:bCs/>
          <w:color w:val="auto"/>
          <w:sz w:val="36"/>
          <w:szCs w:val="32"/>
          <w:highlight w:val="none"/>
        </w:rPr>
      </w:pPr>
    </w:p>
    <w:p w14:paraId="7C646D67">
      <w:pPr>
        <w:jc w:val="center"/>
        <w:rPr>
          <w:rFonts w:hint="default" w:ascii="Times New Roman" w:hAnsi="Times New Roman" w:eastAsia="方正黑体_GBK" w:cs="Times New Roman"/>
          <w:b/>
          <w:bCs/>
          <w:color w:val="auto"/>
          <w:sz w:val="36"/>
          <w:szCs w:val="32"/>
          <w:highlight w:val="none"/>
        </w:rPr>
      </w:pPr>
    </w:p>
    <w:p w14:paraId="433B4B6E">
      <w:pPr>
        <w:jc w:val="center"/>
        <w:rPr>
          <w:rFonts w:hint="default" w:ascii="Times New Roman" w:hAnsi="Times New Roman" w:eastAsia="方正黑体_GBK" w:cs="Times New Roman"/>
          <w:b/>
          <w:bCs/>
          <w:color w:val="auto"/>
          <w:sz w:val="36"/>
          <w:szCs w:val="32"/>
          <w:highlight w:val="none"/>
        </w:rPr>
      </w:pPr>
    </w:p>
    <w:p w14:paraId="3A532DFF">
      <w:pPr>
        <w:jc w:val="center"/>
        <w:rPr>
          <w:rFonts w:hint="default" w:ascii="Times New Roman" w:hAnsi="Times New Roman" w:eastAsia="方正黑体_GBK" w:cs="Times New Roman"/>
          <w:b/>
          <w:bCs/>
          <w:color w:val="auto"/>
          <w:sz w:val="36"/>
          <w:szCs w:val="32"/>
          <w:highlight w:val="none"/>
        </w:rPr>
      </w:pPr>
    </w:p>
    <w:p w14:paraId="2081BD82">
      <w:pPr>
        <w:jc w:val="center"/>
        <w:rPr>
          <w:rFonts w:hint="default" w:ascii="Times New Roman" w:hAnsi="Times New Roman" w:eastAsia="方正黑体_GBK" w:cs="Times New Roman"/>
          <w:b/>
          <w:bCs/>
          <w:color w:val="auto"/>
          <w:sz w:val="36"/>
          <w:szCs w:val="32"/>
          <w:highlight w:val="none"/>
        </w:rPr>
      </w:pPr>
    </w:p>
    <w:p w14:paraId="06D47753">
      <w:pPr>
        <w:jc w:val="center"/>
        <w:rPr>
          <w:rFonts w:hint="default" w:ascii="Times New Roman" w:hAnsi="Times New Roman" w:eastAsia="方正黑体_GBK" w:cs="Times New Roman"/>
          <w:b/>
          <w:bCs/>
          <w:color w:val="auto"/>
          <w:sz w:val="36"/>
          <w:szCs w:val="32"/>
          <w:highlight w:val="none"/>
        </w:rPr>
      </w:pPr>
    </w:p>
    <w:p w14:paraId="2B9AB531">
      <w:pPr>
        <w:jc w:val="center"/>
        <w:rPr>
          <w:rFonts w:hint="default" w:ascii="Times New Roman" w:hAnsi="Times New Roman" w:eastAsia="方正黑体_GBK" w:cs="Times New Roman"/>
          <w:b/>
          <w:bCs/>
          <w:color w:val="auto"/>
          <w:sz w:val="36"/>
          <w:szCs w:val="32"/>
          <w:highlight w:val="none"/>
        </w:rPr>
      </w:pPr>
    </w:p>
    <w:p w14:paraId="7630D7A0">
      <w:pPr>
        <w:jc w:val="center"/>
        <w:rPr>
          <w:rFonts w:hint="default" w:ascii="Times New Roman" w:hAnsi="Times New Roman" w:eastAsia="方正黑体_GBK" w:cs="Times New Roman"/>
          <w:b/>
          <w:bCs/>
          <w:color w:val="auto"/>
          <w:sz w:val="36"/>
          <w:szCs w:val="32"/>
          <w:highlight w:val="none"/>
        </w:rPr>
      </w:pPr>
    </w:p>
    <w:p w14:paraId="52E4A42B">
      <w:pPr>
        <w:jc w:val="center"/>
        <w:rPr>
          <w:rFonts w:hint="default" w:ascii="Times New Roman" w:hAnsi="Times New Roman" w:eastAsia="方正黑体_GBK" w:cs="Times New Roman"/>
          <w:b/>
          <w:bCs/>
          <w:color w:val="auto"/>
          <w:sz w:val="36"/>
          <w:szCs w:val="32"/>
          <w:highlight w:val="none"/>
        </w:rPr>
      </w:pPr>
    </w:p>
    <w:p w14:paraId="4E6FE002">
      <w:pPr>
        <w:jc w:val="center"/>
        <w:rPr>
          <w:rFonts w:hint="default" w:ascii="Times New Roman" w:hAnsi="Times New Roman" w:eastAsia="方正黑体_GBK" w:cs="Times New Roman"/>
          <w:b/>
          <w:bCs/>
          <w:color w:val="auto"/>
          <w:sz w:val="36"/>
          <w:szCs w:val="32"/>
          <w:highlight w:val="none"/>
        </w:rPr>
      </w:pPr>
    </w:p>
    <w:p w14:paraId="0C3072FB">
      <w:pPr>
        <w:jc w:val="center"/>
        <w:rPr>
          <w:rFonts w:hint="default" w:ascii="Times New Roman" w:hAnsi="Times New Roman" w:eastAsia="方正黑体_GBK" w:cs="Times New Roman"/>
          <w:b/>
          <w:bCs/>
          <w:color w:val="auto"/>
          <w:sz w:val="36"/>
          <w:szCs w:val="32"/>
          <w:highlight w:val="none"/>
        </w:rPr>
      </w:pPr>
    </w:p>
    <w:p w14:paraId="3ED64FEF">
      <w:pPr>
        <w:jc w:val="center"/>
        <w:rPr>
          <w:rFonts w:hint="default" w:ascii="Times New Roman" w:hAnsi="Times New Roman" w:eastAsia="方正黑体_GBK" w:cs="Times New Roman"/>
          <w:b/>
          <w:bCs/>
          <w:color w:val="auto"/>
          <w:sz w:val="36"/>
          <w:szCs w:val="32"/>
          <w:highlight w:val="none"/>
        </w:rPr>
      </w:pPr>
    </w:p>
    <w:p w14:paraId="30224EFC">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2、开户许可证</w:t>
      </w:r>
    </w:p>
    <w:p w14:paraId="2D750C50">
      <w:pPr>
        <w:jc w:val="center"/>
        <w:rPr>
          <w:rFonts w:hint="default" w:ascii="Times New Roman" w:hAnsi="Times New Roman" w:eastAsia="方正黑体_GBK" w:cs="Times New Roman"/>
          <w:b/>
          <w:bCs/>
          <w:color w:val="auto"/>
          <w:sz w:val="36"/>
          <w:szCs w:val="32"/>
          <w:highlight w:val="none"/>
          <w:lang w:val="en-US" w:eastAsia="zh-CN"/>
        </w:rPr>
      </w:pPr>
      <w:r>
        <w:rPr>
          <w:rFonts w:hint="default" w:ascii="Times New Roman" w:hAnsi="Times New Roman" w:eastAsia="方正黑体_GBK" w:cs="Times New Roman"/>
          <w:b/>
          <w:bCs/>
          <w:color w:val="auto"/>
          <w:sz w:val="36"/>
          <w:szCs w:val="32"/>
          <w:highlight w:val="none"/>
          <w:lang w:val="en-US" w:eastAsia="zh-CN"/>
        </w:rPr>
        <w:br w:type="page"/>
      </w:r>
      <w:r>
        <w:rPr>
          <w:rFonts w:hint="default" w:ascii="Times New Roman" w:hAnsi="Times New Roman" w:eastAsia="方正黑体_GBK" w:cs="Times New Roman"/>
          <w:b/>
          <w:bCs/>
          <w:color w:val="auto"/>
          <w:sz w:val="36"/>
          <w:szCs w:val="32"/>
          <w:highlight w:val="none"/>
          <w:lang w:val="en-US" w:eastAsia="zh-CN"/>
        </w:rPr>
        <w:t>3、法人代表授权书（原件）</w:t>
      </w:r>
    </w:p>
    <w:p w14:paraId="483B1B78">
      <w:pPr>
        <w:spacing w:line="440" w:lineRule="exact"/>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投标人名称：</w:t>
      </w:r>
      <w:r>
        <w:rPr>
          <w:rFonts w:hint="default" w:ascii="Times New Roman" w:hAnsi="Times New Roman" w:eastAsia="方正仿宋_GBK" w:cs="Times New Roman"/>
          <w:bCs/>
          <w:color w:val="auto"/>
          <w:sz w:val="24"/>
          <w:highlight w:val="none"/>
          <w:u w:val="single"/>
        </w:rPr>
        <w:t xml:space="preserve">                </w:t>
      </w:r>
    </w:p>
    <w:p w14:paraId="2495FCF5">
      <w:pPr>
        <w:spacing w:line="480" w:lineRule="auto"/>
        <w:ind w:firstLine="480" w:firstLineChars="200"/>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姓名：</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性别：</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年龄：</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职务：</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系</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（投标</w:t>
      </w:r>
      <w:r>
        <w:rPr>
          <w:rFonts w:hint="default" w:ascii="Times New Roman" w:hAnsi="Times New Roman" w:eastAsia="方正仿宋_GBK" w:cs="Times New Roman"/>
          <w:bCs/>
          <w:color w:val="auto"/>
          <w:sz w:val="24"/>
          <w:highlight w:val="none"/>
          <w:lang w:val="en-US" w:eastAsia="zh-CN"/>
        </w:rPr>
        <w:t>单位</w:t>
      </w:r>
      <w:r>
        <w:rPr>
          <w:rFonts w:hint="default" w:ascii="Times New Roman" w:hAnsi="Times New Roman" w:eastAsia="方正仿宋_GBK" w:cs="Times New Roman"/>
          <w:bCs/>
          <w:color w:val="auto"/>
          <w:sz w:val="24"/>
          <w:highlight w:val="none"/>
        </w:rPr>
        <w:t>名称）的法定代表人（单位负责人）。</w:t>
      </w:r>
    </w:p>
    <w:p w14:paraId="39648938">
      <w:pPr>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特此证明。</w:t>
      </w:r>
    </w:p>
    <w:p w14:paraId="763604C7">
      <w:pPr>
        <w:autoSpaceDE w:val="0"/>
        <w:autoSpaceDN w:val="0"/>
        <w:adjustRightInd w:val="0"/>
        <w:spacing w:line="240" w:lineRule="atLeas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highlight w:val="none"/>
        </w:rPr>
        <w:drawing>
          <wp:inline distT="0" distB="0" distL="114300" distR="114300">
            <wp:extent cx="4514850"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514850" cy="2990850"/>
                    </a:xfrm>
                    <a:prstGeom prst="rect">
                      <a:avLst/>
                    </a:prstGeom>
                    <a:noFill/>
                    <a:ln>
                      <a:noFill/>
                    </a:ln>
                  </pic:spPr>
                </pic:pic>
              </a:graphicData>
            </a:graphic>
          </wp:inline>
        </w:drawing>
      </w:r>
    </w:p>
    <w:p w14:paraId="0DC49973">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（盖单位章）</w:t>
      </w:r>
    </w:p>
    <w:p w14:paraId="399F5371">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 xml:space="preserve">日 </w:t>
      </w:r>
    </w:p>
    <w:p w14:paraId="0D92A085">
      <w:pPr>
        <w:rPr>
          <w:rFonts w:hint="default" w:ascii="Times New Roman" w:hAnsi="Times New Roman" w:cs="Times New Roman"/>
          <w:color w:val="auto"/>
          <w:highlight w:val="none"/>
        </w:rPr>
      </w:pPr>
    </w:p>
    <w:p w14:paraId="5F62CB31">
      <w:pPr>
        <w:spacing w:line="440" w:lineRule="exact"/>
        <w:outlineLvl w:val="0"/>
        <w:rPr>
          <w:rFonts w:hint="default" w:ascii="Times New Roman" w:hAnsi="Times New Roman" w:eastAsia="宋体" w:cs="Times New Roman"/>
          <w:b/>
          <w:bCs w:val="0"/>
          <w:color w:val="auto"/>
          <w:szCs w:val="21"/>
          <w:highlight w:val="none"/>
        </w:rPr>
      </w:pPr>
    </w:p>
    <w:p w14:paraId="7E3CD6F5">
      <w:pPr>
        <w:spacing w:line="440" w:lineRule="exact"/>
        <w:outlineLvl w:val="0"/>
        <w:rPr>
          <w:rFonts w:hint="default" w:ascii="Times New Roman" w:hAnsi="Times New Roman" w:eastAsia="宋体" w:cs="Times New Roman"/>
          <w:b/>
          <w:bCs w:val="0"/>
          <w:color w:val="auto"/>
          <w:szCs w:val="21"/>
          <w:highlight w:val="none"/>
        </w:rPr>
      </w:pPr>
    </w:p>
    <w:p w14:paraId="5127CD7C">
      <w:pPr>
        <w:spacing w:line="440" w:lineRule="exact"/>
        <w:outlineLvl w:val="0"/>
        <w:rPr>
          <w:rFonts w:hint="default" w:ascii="Times New Roman" w:hAnsi="Times New Roman" w:eastAsia="方正仿宋_GBK" w:cs="Times New Roman"/>
          <w:b/>
          <w:bCs w:val="0"/>
          <w:color w:val="auto"/>
          <w:szCs w:val="21"/>
          <w:highlight w:val="none"/>
          <w:lang w:val="en-US" w:eastAsia="zh-CN"/>
        </w:rPr>
      </w:pPr>
      <w:r>
        <w:rPr>
          <w:rFonts w:hint="default" w:ascii="Times New Roman" w:hAnsi="Times New Roman" w:eastAsia="方正仿宋_GBK" w:cs="Times New Roman"/>
          <w:b/>
          <w:bCs w:val="0"/>
          <w:color w:val="auto"/>
          <w:szCs w:val="21"/>
          <w:highlight w:val="none"/>
        </w:rPr>
        <w:t>注：本表适用于法定代表人直接参加投标的</w:t>
      </w:r>
      <w:r>
        <w:rPr>
          <w:rFonts w:hint="default" w:ascii="Times New Roman" w:hAnsi="Times New Roman" w:eastAsia="方正仿宋_GBK" w:cs="Times New Roman"/>
          <w:b/>
          <w:bCs w:val="0"/>
          <w:color w:val="auto"/>
          <w:szCs w:val="21"/>
          <w:highlight w:val="none"/>
          <w:lang w:val="en-US" w:eastAsia="zh-CN"/>
        </w:rPr>
        <w:t>。</w:t>
      </w:r>
    </w:p>
    <w:p w14:paraId="1269A4AB">
      <w:pPr>
        <w:spacing w:line="360" w:lineRule="auto"/>
        <w:ind w:firstLine="480" w:firstLineChars="200"/>
        <w:rPr>
          <w:rFonts w:hint="default" w:ascii="Times New Roman" w:hAnsi="Times New Roman" w:eastAsia="方正仿宋_GBK" w:cs="Times New Roman"/>
          <w:color w:val="auto"/>
          <w:sz w:val="24"/>
          <w:szCs w:val="24"/>
          <w:highlight w:val="none"/>
        </w:rPr>
        <w:sectPr>
          <w:pgSz w:w="11906" w:h="16838"/>
          <w:pgMar w:top="1440" w:right="1274"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0DDAC1A9">
      <w:pPr>
        <w:pStyle w:val="4"/>
        <w:numPr>
          <w:ilvl w:val="0"/>
          <w:numId w:val="0"/>
        </w:numPr>
        <w:spacing w:before="0" w:after="0" w:line="360" w:lineRule="auto"/>
        <w:ind w:leftChars="0"/>
        <w:jc w:val="center"/>
        <w:rPr>
          <w:rFonts w:hint="default" w:ascii="Times New Roman" w:hAnsi="Times New Roman" w:cs="Times New Roman"/>
          <w:color w:val="auto"/>
          <w:sz w:val="36"/>
          <w:szCs w:val="36"/>
          <w:highlight w:val="none"/>
        </w:rPr>
      </w:pPr>
      <w:bookmarkStart w:id="31" w:name="_Toc184635140"/>
      <w:r>
        <w:rPr>
          <w:rFonts w:hint="default" w:ascii="Times New Roman" w:hAnsi="Times New Roman" w:eastAsia="方正黑体_GBK" w:cs="Times New Roman"/>
          <w:color w:val="auto"/>
          <w:sz w:val="36"/>
          <w:szCs w:val="36"/>
          <w:highlight w:val="none"/>
          <w:lang w:val="en-US" w:eastAsia="zh-CN"/>
        </w:rPr>
        <w:t xml:space="preserve">4. </w:t>
      </w:r>
      <w:bookmarkEnd w:id="31"/>
      <w:r>
        <w:rPr>
          <w:rFonts w:hint="default" w:ascii="Times New Roman" w:hAnsi="Times New Roman" w:eastAsia="方正黑体_GBK" w:cs="Times New Roman"/>
          <w:b/>
          <w:bCs/>
          <w:color w:val="auto"/>
          <w:kern w:val="2"/>
          <w:sz w:val="36"/>
          <w:szCs w:val="32"/>
          <w:highlight w:val="none"/>
          <w:lang w:val="en-US" w:eastAsia="zh-CN" w:bidi="ar-SA"/>
        </w:rPr>
        <w:t>被授权人身份证明</w:t>
      </w:r>
    </w:p>
    <w:p w14:paraId="459DD495">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本人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（姓名）系</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名称）的法定代表人，现委托</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（姓名）为我方代理人。代理人根据授权，以我方名义参加、签署、澄清、说明、补正、递交、撤回、修改</w:t>
      </w:r>
      <w:r>
        <w:rPr>
          <w:rFonts w:hint="eastAsia" w:eastAsia="方正仿宋_GBK" w:cs="Times New Roman"/>
          <w:color w:val="auto"/>
          <w:sz w:val="24"/>
          <w:szCs w:val="24"/>
          <w:highlight w:val="none"/>
          <w:u w:val="single"/>
          <w:lang w:val="en-US" w:eastAsia="zh-CN"/>
        </w:rPr>
        <w:t>巨星花园</w:t>
      </w:r>
      <w:r>
        <w:rPr>
          <w:rFonts w:hint="default" w:ascii="Times New Roman" w:hAnsi="Times New Roman" w:eastAsia="方正仿宋_GBK" w:cs="Times New Roman"/>
          <w:color w:val="auto"/>
          <w:sz w:val="24"/>
          <w:szCs w:val="24"/>
          <w:highlight w:val="none"/>
          <w:u w:val="single"/>
          <w:lang w:val="en-US" w:eastAsia="zh-CN"/>
        </w:rPr>
        <w:t>A区1-7单元电梯维护保养服务外包采购项目</w:t>
      </w:r>
      <w:r>
        <w:rPr>
          <w:rFonts w:hint="default" w:ascii="Times New Roman" w:hAnsi="Times New Roman" w:eastAsia="方正仿宋_GBK" w:cs="Times New Roman"/>
          <w:color w:val="auto"/>
          <w:sz w:val="24"/>
          <w:szCs w:val="28"/>
          <w:highlight w:val="none"/>
          <w:lang w:eastAsia="zh-CN"/>
        </w:rPr>
        <w:t>资格申请</w:t>
      </w:r>
      <w:r>
        <w:rPr>
          <w:rFonts w:hint="default" w:ascii="Times New Roman" w:hAnsi="Times New Roman" w:eastAsia="方正仿宋_GBK" w:cs="Times New Roman"/>
          <w:color w:val="auto"/>
          <w:sz w:val="24"/>
          <w:szCs w:val="28"/>
          <w:highlight w:val="none"/>
        </w:rPr>
        <w:t>文件</w:t>
      </w:r>
      <w:r>
        <w:rPr>
          <w:rFonts w:hint="default" w:ascii="Times New Roman" w:hAnsi="Times New Roman" w:eastAsia="方正仿宋_GBK" w:cs="Times New Roman"/>
          <w:color w:val="auto"/>
          <w:sz w:val="24"/>
          <w:szCs w:val="28"/>
          <w:highlight w:val="none"/>
          <w:lang w:eastAsia="zh-CN"/>
        </w:rPr>
        <w:t>等</w:t>
      </w:r>
      <w:r>
        <w:rPr>
          <w:rFonts w:hint="default" w:ascii="Times New Roman" w:hAnsi="Times New Roman" w:eastAsia="方正仿宋_GBK" w:cs="Times New Roman"/>
          <w:color w:val="auto"/>
          <w:sz w:val="24"/>
          <w:szCs w:val="28"/>
          <w:highlight w:val="none"/>
        </w:rPr>
        <w:t>有关事宜，其法律后果由我方承担。</w:t>
      </w:r>
    </w:p>
    <w:p w14:paraId="57F4621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委托期限：</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（自开标时间起不得少于90日历天）</w:t>
      </w:r>
    </w:p>
    <w:p w14:paraId="00C7098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szCs w:val="28"/>
          <w:highlight w:val="none"/>
        </w:rPr>
        <w:t>代理人无转委托权。</w:t>
      </w:r>
    </w:p>
    <w:tbl>
      <w:tblPr>
        <w:tblStyle w:val="16"/>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141D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exact"/>
        </w:trPr>
        <w:tc>
          <w:tcPr>
            <w:tcW w:w="4470" w:type="dxa"/>
            <w:tcBorders>
              <w:bottom w:val="dashed" w:color="auto" w:sz="4" w:space="0"/>
              <w:right w:val="dashed" w:color="auto" w:sz="4" w:space="0"/>
            </w:tcBorders>
            <w:noWrap w:val="0"/>
            <w:vAlign w:val="top"/>
          </w:tcPr>
          <w:p w14:paraId="5BB146D2">
            <w:pPr>
              <w:spacing w:line="360" w:lineRule="auto"/>
              <w:ind w:firstLine="480" w:firstLineChars="200"/>
              <w:rPr>
                <w:rFonts w:hint="default" w:ascii="Times New Roman" w:hAnsi="Times New Roman" w:eastAsia="方正仿宋_GBK" w:cs="Times New Roman"/>
                <w:color w:val="auto"/>
                <w:sz w:val="24"/>
                <w:highlight w:val="none"/>
              </w:rPr>
            </w:pPr>
          </w:p>
          <w:p w14:paraId="6D413DD2">
            <w:pPr>
              <w:spacing w:line="360" w:lineRule="auto"/>
              <w:ind w:firstLine="480" w:firstLineChars="200"/>
              <w:rPr>
                <w:rFonts w:hint="default" w:ascii="Times New Roman" w:hAnsi="Times New Roman" w:eastAsia="方正仿宋_GBK" w:cs="Times New Roman"/>
                <w:color w:val="auto"/>
                <w:sz w:val="24"/>
                <w:highlight w:val="none"/>
              </w:rPr>
            </w:pPr>
          </w:p>
          <w:p w14:paraId="7D5A5FC6">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14:paraId="03C290CF">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14:paraId="2C9DB0EA">
            <w:pPr>
              <w:spacing w:line="360" w:lineRule="auto"/>
              <w:ind w:firstLine="480" w:firstLineChars="200"/>
              <w:rPr>
                <w:rFonts w:hint="default" w:ascii="Times New Roman" w:hAnsi="Times New Roman" w:eastAsia="方正仿宋_GBK" w:cs="Times New Roman"/>
                <w:color w:val="auto"/>
                <w:sz w:val="24"/>
                <w:highlight w:val="none"/>
              </w:rPr>
            </w:pPr>
          </w:p>
          <w:p w14:paraId="6271F43E">
            <w:pPr>
              <w:spacing w:line="360" w:lineRule="auto"/>
              <w:ind w:firstLine="480" w:firstLineChars="200"/>
              <w:rPr>
                <w:rFonts w:hint="default" w:ascii="Times New Roman" w:hAnsi="Times New Roman" w:eastAsia="方正仿宋_GBK" w:cs="Times New Roman"/>
                <w:color w:val="auto"/>
                <w:sz w:val="24"/>
                <w:highlight w:val="none"/>
              </w:rPr>
            </w:pPr>
          </w:p>
          <w:p w14:paraId="5A2A0E52">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left w:val="dashed" w:color="auto" w:sz="4" w:space="0"/>
              <w:bottom w:val="dashed" w:color="auto" w:sz="4" w:space="0"/>
            </w:tcBorders>
            <w:noWrap w:val="0"/>
            <w:vAlign w:val="top"/>
          </w:tcPr>
          <w:p w14:paraId="323E5E23">
            <w:pPr>
              <w:widowControl/>
              <w:jc w:val="left"/>
              <w:rPr>
                <w:rFonts w:hint="default" w:ascii="Times New Roman" w:hAnsi="Times New Roman" w:eastAsia="方正仿宋_GBK" w:cs="Times New Roman"/>
                <w:color w:val="auto"/>
                <w:sz w:val="24"/>
                <w:highlight w:val="none"/>
              </w:rPr>
            </w:pPr>
          </w:p>
          <w:p w14:paraId="4A7931A7">
            <w:pPr>
              <w:widowControl/>
              <w:jc w:val="left"/>
              <w:rPr>
                <w:rFonts w:hint="default" w:ascii="Times New Roman" w:hAnsi="Times New Roman" w:eastAsia="方正仿宋_GBK" w:cs="Times New Roman"/>
                <w:color w:val="auto"/>
                <w:sz w:val="24"/>
                <w:highlight w:val="none"/>
              </w:rPr>
            </w:pPr>
          </w:p>
          <w:p w14:paraId="56C43BFE">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14:paraId="6A87345E">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14:paraId="5D1A37D6">
            <w:pPr>
              <w:widowControl/>
              <w:jc w:val="left"/>
              <w:rPr>
                <w:rFonts w:hint="default" w:ascii="Times New Roman" w:hAnsi="Times New Roman" w:eastAsia="方正仿宋_GBK" w:cs="Times New Roman"/>
                <w:color w:val="auto"/>
                <w:sz w:val="24"/>
                <w:highlight w:val="none"/>
              </w:rPr>
            </w:pPr>
          </w:p>
          <w:p w14:paraId="3075D55C">
            <w:pPr>
              <w:widowControl/>
              <w:jc w:val="left"/>
              <w:rPr>
                <w:rFonts w:hint="default" w:ascii="Times New Roman" w:hAnsi="Times New Roman" w:eastAsia="方正仿宋_GBK" w:cs="Times New Roman"/>
                <w:color w:val="auto"/>
                <w:sz w:val="24"/>
                <w:highlight w:val="none"/>
              </w:rPr>
            </w:pPr>
          </w:p>
          <w:p w14:paraId="47ED4EC1">
            <w:pPr>
              <w:spacing w:line="360" w:lineRule="auto"/>
              <w:rPr>
                <w:rFonts w:hint="default" w:ascii="Times New Roman" w:hAnsi="Times New Roman" w:eastAsia="方正仿宋_GBK" w:cs="Times New Roman"/>
                <w:color w:val="auto"/>
                <w:sz w:val="24"/>
                <w:highlight w:val="none"/>
              </w:rPr>
            </w:pPr>
          </w:p>
        </w:tc>
      </w:tr>
      <w:tr w14:paraId="4257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7" w:hRule="exact"/>
        </w:trPr>
        <w:tc>
          <w:tcPr>
            <w:tcW w:w="4470" w:type="dxa"/>
            <w:tcBorders>
              <w:top w:val="dashed" w:color="auto" w:sz="4" w:space="0"/>
              <w:right w:val="dashed" w:color="auto" w:sz="4" w:space="0"/>
            </w:tcBorders>
            <w:noWrap w:val="0"/>
            <w:vAlign w:val="top"/>
          </w:tcPr>
          <w:p w14:paraId="7001202E">
            <w:pPr>
              <w:spacing w:line="360" w:lineRule="auto"/>
              <w:ind w:firstLine="480" w:firstLineChars="200"/>
              <w:rPr>
                <w:rFonts w:hint="default" w:ascii="Times New Roman" w:hAnsi="Times New Roman" w:eastAsia="方正仿宋_GBK" w:cs="Times New Roman"/>
                <w:color w:val="auto"/>
                <w:sz w:val="24"/>
                <w:highlight w:val="none"/>
              </w:rPr>
            </w:pPr>
          </w:p>
          <w:p w14:paraId="16FF723E">
            <w:pPr>
              <w:spacing w:line="360" w:lineRule="auto"/>
              <w:ind w:firstLine="480" w:firstLineChars="200"/>
              <w:rPr>
                <w:rFonts w:hint="default" w:ascii="Times New Roman" w:hAnsi="Times New Roman" w:eastAsia="方正仿宋_GBK" w:cs="Times New Roman"/>
                <w:color w:val="auto"/>
                <w:sz w:val="24"/>
                <w:highlight w:val="none"/>
              </w:rPr>
            </w:pPr>
          </w:p>
          <w:p w14:paraId="56581618">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14:paraId="3D7DDA7D">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p w14:paraId="4DFA6C84">
            <w:pPr>
              <w:spacing w:line="360" w:lineRule="auto"/>
              <w:ind w:firstLine="480" w:firstLineChars="200"/>
              <w:rPr>
                <w:rFonts w:hint="default" w:ascii="Times New Roman" w:hAnsi="Times New Roman" w:eastAsia="方正仿宋_GBK" w:cs="Times New Roman"/>
                <w:color w:val="auto"/>
                <w:sz w:val="24"/>
                <w:highlight w:val="none"/>
              </w:rPr>
            </w:pPr>
          </w:p>
          <w:p w14:paraId="18076341">
            <w:pPr>
              <w:spacing w:line="360" w:lineRule="auto"/>
              <w:ind w:firstLine="480" w:firstLineChars="200"/>
              <w:rPr>
                <w:rFonts w:hint="default" w:ascii="Times New Roman" w:hAnsi="Times New Roman" w:eastAsia="方正仿宋_GBK" w:cs="Times New Roman"/>
                <w:color w:val="auto"/>
                <w:sz w:val="24"/>
                <w:highlight w:val="none"/>
              </w:rPr>
            </w:pPr>
          </w:p>
          <w:p w14:paraId="0A9351B0">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top w:val="dashed" w:color="auto" w:sz="4" w:space="0"/>
              <w:left w:val="dashed" w:color="auto" w:sz="4" w:space="0"/>
            </w:tcBorders>
            <w:noWrap w:val="0"/>
            <w:vAlign w:val="top"/>
          </w:tcPr>
          <w:p w14:paraId="7B267E69">
            <w:pPr>
              <w:widowControl/>
              <w:jc w:val="left"/>
              <w:rPr>
                <w:rFonts w:hint="default" w:ascii="Times New Roman" w:hAnsi="Times New Roman" w:eastAsia="方正仿宋_GBK" w:cs="Times New Roman"/>
                <w:color w:val="auto"/>
                <w:sz w:val="24"/>
                <w:highlight w:val="none"/>
              </w:rPr>
            </w:pPr>
          </w:p>
          <w:p w14:paraId="6A2848EE">
            <w:pPr>
              <w:widowControl/>
              <w:jc w:val="left"/>
              <w:rPr>
                <w:rFonts w:hint="default" w:ascii="Times New Roman" w:hAnsi="Times New Roman" w:eastAsia="方正仿宋_GBK" w:cs="Times New Roman"/>
                <w:color w:val="auto"/>
                <w:sz w:val="24"/>
                <w:highlight w:val="none"/>
              </w:rPr>
            </w:pPr>
          </w:p>
          <w:p w14:paraId="54157014">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14:paraId="3CEBFB5A">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tc>
      </w:tr>
    </w:tbl>
    <w:p w14:paraId="2C6286EB">
      <w:pPr>
        <w:spacing w:line="360" w:lineRule="auto"/>
        <w:jc w:val="both"/>
        <w:rPr>
          <w:rFonts w:hint="default" w:ascii="Times New Roman" w:hAnsi="Times New Roman" w:eastAsia="方正仿宋_GBK" w:cs="Times New Roman"/>
          <w:color w:val="auto"/>
          <w:sz w:val="28"/>
          <w:szCs w:val="28"/>
          <w:highlight w:val="none"/>
        </w:rPr>
      </w:pPr>
    </w:p>
    <w:p w14:paraId="75DCDB99">
      <w:pPr>
        <w:adjustRightInd w:val="0"/>
        <w:snapToGrid w:val="0"/>
        <w:spacing w:line="360" w:lineRule="auto"/>
        <w:jc w:val="center"/>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lang w:val="en-US" w:eastAsia="zh-CN"/>
        </w:rPr>
        <w:t xml:space="preserve">                </w:t>
      </w:r>
      <w:r>
        <w:rPr>
          <w:rFonts w:hint="eastAsia" w:eastAsia="方正仿宋_GBK" w:cs="Times New Roman"/>
          <w:color w:val="auto"/>
          <w:sz w:val="24"/>
          <w:szCs w:val="28"/>
          <w:highlight w:val="none"/>
          <w:lang w:val="en-US" w:eastAsia="zh-CN"/>
        </w:rPr>
        <w:t xml:space="preserve">        </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（公章）</w:t>
      </w:r>
    </w:p>
    <w:p w14:paraId="5E121066">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法定代表人：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14:paraId="5D57A9A4">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委托代理人：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14:paraId="7D0074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default" w:ascii="Times New Roman" w:hAnsi="Times New Roman" w:eastAsia="方正仿宋_GBK" w:cs="Times New Roman"/>
          <w:b/>
          <w:bCs w:val="0"/>
          <w:color w:val="auto"/>
          <w:szCs w:val="21"/>
          <w:highlight w:val="none"/>
        </w:rPr>
      </w:pPr>
      <w:r>
        <w:rPr>
          <w:rFonts w:hint="default" w:ascii="Times New Roman" w:hAnsi="Times New Roman" w:eastAsia="方正仿宋_GBK" w:cs="Times New Roman"/>
          <w:color w:val="auto"/>
          <w:sz w:val="24"/>
          <w:szCs w:val="28"/>
          <w:highlight w:val="none"/>
        </w:rPr>
        <w:t>日  期：</w:t>
      </w:r>
      <w:r>
        <w:rPr>
          <w:rFonts w:hint="default" w:ascii="Times New Roman" w:hAnsi="Times New Roman" w:eastAsia="方正仿宋_GBK" w:cs="Times New Roman"/>
          <w:color w:val="auto"/>
          <w:sz w:val="24"/>
          <w:szCs w:val="28"/>
          <w:highlight w:val="none"/>
          <w:u w:val="single"/>
          <w:lang w:val="en-US" w:eastAsia="zh-CN"/>
        </w:rPr>
        <w:t xml:space="preserve">      </w:t>
      </w:r>
      <w:r>
        <w:rPr>
          <w:rFonts w:hint="default" w:ascii="Times New Roman" w:hAnsi="Times New Roman" w:eastAsia="方正仿宋_GBK" w:cs="Times New Roman"/>
          <w:color w:val="auto"/>
          <w:sz w:val="24"/>
          <w:szCs w:val="28"/>
          <w:highlight w:val="none"/>
        </w:rPr>
        <w:t>年</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月</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日</w:t>
      </w:r>
    </w:p>
    <w:p w14:paraId="747B88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default" w:ascii="Times New Roman" w:hAnsi="Times New Roman" w:eastAsia="方正仿宋_GBK" w:cs="Times New Roman"/>
          <w:b/>
          <w:bCs w:val="0"/>
          <w:color w:val="auto"/>
          <w:sz w:val="30"/>
          <w:szCs w:val="30"/>
          <w:highlight w:val="none"/>
          <w:lang w:val="en-US" w:eastAsia="zh-CN"/>
        </w:rPr>
      </w:pPr>
      <w:r>
        <w:rPr>
          <w:rFonts w:hint="default" w:ascii="Times New Roman" w:hAnsi="Times New Roman" w:eastAsia="方正仿宋_GBK" w:cs="Times New Roman"/>
          <w:b/>
          <w:bCs w:val="0"/>
          <w:color w:val="auto"/>
          <w:szCs w:val="21"/>
          <w:highlight w:val="none"/>
        </w:rPr>
        <w:t>注：本表适用于法定代表人</w:t>
      </w:r>
      <w:r>
        <w:rPr>
          <w:rFonts w:hint="default" w:ascii="Times New Roman" w:hAnsi="Times New Roman" w:eastAsia="方正仿宋_GBK" w:cs="Times New Roman"/>
          <w:b/>
          <w:bCs w:val="0"/>
          <w:color w:val="auto"/>
          <w:szCs w:val="21"/>
          <w:highlight w:val="none"/>
          <w:lang w:val="en-US" w:eastAsia="zh-CN"/>
        </w:rPr>
        <w:t>委托代理人</w:t>
      </w:r>
      <w:r>
        <w:rPr>
          <w:rFonts w:hint="default" w:ascii="Times New Roman" w:hAnsi="Times New Roman" w:eastAsia="方正仿宋_GBK" w:cs="Times New Roman"/>
          <w:b/>
          <w:bCs w:val="0"/>
          <w:color w:val="auto"/>
          <w:szCs w:val="21"/>
          <w:highlight w:val="none"/>
        </w:rPr>
        <w:t>直接参加投标的。</w:t>
      </w:r>
      <w:r>
        <w:rPr>
          <w:rFonts w:hint="default" w:ascii="Times New Roman" w:hAnsi="Times New Roman" w:eastAsia="方正仿宋_GBK" w:cs="Times New Roman"/>
          <w:b/>
          <w:bCs w:val="0"/>
          <w:color w:val="auto"/>
          <w:sz w:val="30"/>
          <w:szCs w:val="30"/>
          <w:highlight w:val="none"/>
          <w:lang w:val="en-US" w:eastAsia="zh-CN"/>
        </w:rPr>
        <w:t xml:space="preserve"> </w:t>
      </w:r>
    </w:p>
    <w:p w14:paraId="45C0DCAD">
      <w:pPr>
        <w:rPr>
          <w:rFonts w:hint="default" w:ascii="Times New Roman" w:hAnsi="Times New Roman" w:cs="Times New Roman"/>
          <w:color w:val="auto"/>
          <w:highlight w:val="none"/>
          <w:lang w:eastAsia="zh-CN"/>
        </w:rPr>
      </w:pPr>
    </w:p>
    <w:p w14:paraId="44873A8D">
      <w:pPr>
        <w:pStyle w:val="5"/>
        <w:numPr>
          <w:ilvl w:val="0"/>
          <w:numId w:val="0"/>
        </w:numPr>
        <w:spacing w:before="0" w:after="0" w:line="240" w:lineRule="auto"/>
        <w:jc w:val="center"/>
        <w:rPr>
          <w:rFonts w:hint="default" w:ascii="Times New Roman" w:hAnsi="Times New Roman" w:eastAsia="方正黑体_GBK" w:cs="Times New Roman"/>
          <w:color w:val="auto"/>
          <w:sz w:val="24"/>
          <w:highlight w:val="none"/>
          <w:u w:val="single"/>
        </w:rPr>
      </w:pPr>
      <w:r>
        <w:rPr>
          <w:rFonts w:hint="default" w:ascii="Times New Roman" w:hAnsi="Times New Roman" w:eastAsia="方正黑体_GBK" w:cs="Times New Roman"/>
          <w:b/>
          <w:color w:val="auto"/>
          <w:kern w:val="2"/>
          <w:sz w:val="36"/>
          <w:szCs w:val="36"/>
          <w:highlight w:val="none"/>
          <w:lang w:val="en-US" w:eastAsia="zh-CN" w:bidi="ar-SA"/>
        </w:rPr>
        <w:br w:type="page"/>
      </w:r>
      <w:r>
        <w:rPr>
          <w:rFonts w:hint="eastAsia" w:ascii="Times New Roman" w:hAnsi="Times New Roman" w:eastAsia="方正黑体_GBK" w:cs="Times New Roman"/>
          <w:b/>
          <w:color w:val="auto"/>
          <w:kern w:val="2"/>
          <w:sz w:val="36"/>
          <w:szCs w:val="36"/>
          <w:highlight w:val="none"/>
          <w:lang w:val="en-US" w:eastAsia="zh-CN" w:bidi="ar-SA"/>
        </w:rPr>
        <w:t>5</w:t>
      </w:r>
      <w:r>
        <w:rPr>
          <w:rFonts w:hint="default" w:ascii="Times New Roman" w:hAnsi="Times New Roman" w:eastAsia="方正黑体_GBK" w:cs="Times New Roman"/>
          <w:b/>
          <w:color w:val="auto"/>
          <w:kern w:val="2"/>
          <w:sz w:val="36"/>
          <w:szCs w:val="36"/>
          <w:highlight w:val="none"/>
          <w:lang w:val="en-US" w:eastAsia="zh-CN" w:bidi="ar-SA"/>
        </w:rPr>
        <w:t>、投标承诺书</w:t>
      </w:r>
    </w:p>
    <w:p w14:paraId="038AF227">
      <w:pPr>
        <w:shd w:val="clear" w:color="auto" w:fill="FFFFFF"/>
        <w:spacing w:line="5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宋体" w:cs="Times New Roman"/>
          <w:color w:val="auto"/>
          <w:sz w:val="24"/>
          <w:highlight w:val="none"/>
          <w:u w:val="single"/>
        </w:rPr>
        <w:t> </w:t>
      </w:r>
      <w:r>
        <w:rPr>
          <w:rFonts w:hint="eastAsia" w:eastAsia="方正仿宋_GBK" w:cs="Times New Roman"/>
          <w:color w:val="auto"/>
          <w:sz w:val="24"/>
          <w:szCs w:val="24"/>
          <w:highlight w:val="none"/>
          <w:u w:val="single"/>
          <w:lang w:val="en-US" w:eastAsia="zh-CN"/>
        </w:rPr>
        <w:t>重庆市种畜场</w:t>
      </w:r>
      <w:r>
        <w:rPr>
          <w:rFonts w:hint="default" w:ascii="Times New Roman" w:hAnsi="Times New Roman" w:eastAsia="方正仿宋_GBK" w:cs="Times New Roman"/>
          <w:color w:val="auto"/>
          <w:sz w:val="24"/>
          <w:szCs w:val="24"/>
          <w:highlight w:val="none"/>
          <w:lang w:val="en-US" w:eastAsia="zh-CN"/>
        </w:rPr>
        <w:t> ：</w:t>
      </w:r>
    </w:p>
    <w:p w14:paraId="1472B86A">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我方根据你方发出的</w:t>
      </w:r>
      <w:r>
        <w:rPr>
          <w:rFonts w:hint="eastAsia" w:eastAsia="方正仿宋_GBK" w:cs="Times New Roman"/>
          <w:color w:val="auto"/>
          <w:sz w:val="24"/>
          <w:szCs w:val="24"/>
          <w:highlight w:val="none"/>
          <w:u w:val="single"/>
          <w:lang w:val="en-US" w:eastAsia="zh-CN"/>
        </w:rPr>
        <w:t>巨星花园</w:t>
      </w:r>
      <w:r>
        <w:rPr>
          <w:rFonts w:hint="default" w:ascii="Times New Roman" w:hAnsi="Times New Roman" w:eastAsia="方正仿宋_GBK" w:cs="Times New Roman"/>
          <w:color w:val="auto"/>
          <w:sz w:val="24"/>
          <w:szCs w:val="24"/>
          <w:highlight w:val="none"/>
          <w:u w:val="single"/>
          <w:lang w:val="en-US" w:eastAsia="zh-CN"/>
        </w:rPr>
        <w:t>A区1-7</w:t>
      </w:r>
      <w:r>
        <w:rPr>
          <w:rFonts w:hint="eastAsia" w:eastAsia="方正仿宋_GBK" w:cs="Times New Roman"/>
          <w:color w:val="auto"/>
          <w:sz w:val="24"/>
          <w:szCs w:val="24"/>
          <w:highlight w:val="none"/>
          <w:u w:val="single"/>
          <w:lang w:val="en-US" w:eastAsia="zh-CN"/>
        </w:rPr>
        <w:t>单元电梯维护保养服务外包采购项目</w:t>
      </w:r>
      <w:r>
        <w:rPr>
          <w:rFonts w:hint="default" w:ascii="Times New Roman" w:hAnsi="Times New Roman" w:eastAsia="方正仿宋_GBK" w:cs="Times New Roman"/>
          <w:color w:val="auto"/>
          <w:sz w:val="24"/>
          <w:szCs w:val="24"/>
          <w:highlight w:val="none"/>
          <w:lang w:val="en-US" w:eastAsia="zh-CN"/>
        </w:rPr>
        <w:t>（以下简称</w:t>
      </w:r>
      <w:r>
        <w:rPr>
          <w:rFonts w:hint="eastAsia" w:ascii="方正仿宋_GBK" w:hAnsi="方正仿宋_GBK" w:eastAsia="方正仿宋_GBK" w:cs="方正仿宋_GBK"/>
          <w:color w:val="auto"/>
          <w:sz w:val="24"/>
          <w:szCs w:val="24"/>
          <w:highlight w:val="none"/>
          <w:lang w:val="en-US" w:eastAsia="zh-CN"/>
        </w:rPr>
        <w:t>“本项目”</w:t>
      </w:r>
      <w:r>
        <w:rPr>
          <w:rFonts w:hint="default" w:ascii="Times New Roman" w:hAnsi="Times New Roman" w:eastAsia="方正仿宋_GBK" w:cs="Times New Roman"/>
          <w:color w:val="auto"/>
          <w:sz w:val="24"/>
          <w:szCs w:val="24"/>
          <w:highlight w:val="none"/>
          <w:lang w:val="en-US" w:eastAsia="zh-CN"/>
        </w:rPr>
        <w:t>）的</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文件，我方就本项目的投标工作，作出以下承诺：</w:t>
      </w:r>
    </w:p>
    <w:p w14:paraId="15CA645B">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我方经仔细阅读和认真研究上述</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文件及有关附件的所有内容后，已完全理解并同意接受</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文件涉及的各项要求与权利。</w:t>
      </w:r>
    </w:p>
    <w:p w14:paraId="19C972D3">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我方于投标前</w:t>
      </w:r>
      <w:r>
        <w:rPr>
          <w:rFonts w:hint="eastAsia" w:ascii="Times New Roman" w:hAnsi="Times New Roman" w:eastAsia="方正仿宋_GBK" w:cs="Times New Roman"/>
          <w:color w:val="auto"/>
          <w:sz w:val="24"/>
          <w:szCs w:val="24"/>
          <w:highlight w:val="none"/>
          <w:lang w:val="en-US" w:eastAsia="zh-CN"/>
        </w:rPr>
        <w:t>已</w:t>
      </w:r>
      <w:r>
        <w:rPr>
          <w:rFonts w:hint="default" w:ascii="Times New Roman" w:hAnsi="Times New Roman" w:eastAsia="方正仿宋_GBK" w:cs="Times New Roman"/>
          <w:color w:val="auto"/>
          <w:sz w:val="24"/>
          <w:szCs w:val="24"/>
          <w:highlight w:val="none"/>
          <w:lang w:val="en-US" w:eastAsia="zh-CN"/>
        </w:rPr>
        <w:t>对本项目进行了充分调研，确保中标后</w:t>
      </w:r>
      <w:r>
        <w:rPr>
          <w:rFonts w:hint="eastAsia" w:eastAsia="方正仿宋_GBK" w:cs="Times New Roman"/>
          <w:color w:val="auto"/>
          <w:sz w:val="24"/>
          <w:szCs w:val="24"/>
          <w:highlight w:val="none"/>
          <w:lang w:val="en-US" w:eastAsia="zh-CN"/>
        </w:rPr>
        <w:t>按合同约定</w:t>
      </w:r>
      <w:r>
        <w:rPr>
          <w:rFonts w:hint="default" w:ascii="Times New Roman" w:hAnsi="Times New Roman" w:eastAsia="方正仿宋_GBK" w:cs="Times New Roman"/>
          <w:color w:val="auto"/>
          <w:sz w:val="24"/>
          <w:szCs w:val="24"/>
          <w:highlight w:val="none"/>
          <w:lang w:val="en-US" w:eastAsia="zh-CN"/>
        </w:rPr>
        <w:t>顺利</w:t>
      </w:r>
      <w:r>
        <w:rPr>
          <w:rFonts w:hint="eastAsia" w:eastAsia="方正仿宋_GBK" w:cs="Times New Roman"/>
          <w:color w:val="auto"/>
          <w:sz w:val="24"/>
          <w:szCs w:val="24"/>
          <w:highlight w:val="none"/>
          <w:lang w:val="en-US" w:eastAsia="zh-CN"/>
        </w:rPr>
        <w:t>履行相关条款</w:t>
      </w:r>
      <w:r>
        <w:rPr>
          <w:rFonts w:hint="default" w:ascii="Times New Roman" w:hAnsi="Times New Roman" w:eastAsia="方正仿宋_GBK" w:cs="Times New Roman"/>
          <w:color w:val="auto"/>
          <w:sz w:val="24"/>
          <w:szCs w:val="24"/>
          <w:highlight w:val="none"/>
          <w:lang w:val="en-US" w:eastAsia="zh-CN"/>
        </w:rPr>
        <w:t>，对于以上可能产生的费用及风险均由我方自行承担。</w:t>
      </w:r>
    </w:p>
    <w:p w14:paraId="7C99D1AF">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若我方有幸中标，则在</w:t>
      </w:r>
      <w:r>
        <w:rPr>
          <w:rFonts w:hint="eastAsia" w:eastAsia="方正仿宋_GBK" w:cs="Times New Roman"/>
          <w:color w:val="auto"/>
          <w:sz w:val="24"/>
          <w:szCs w:val="24"/>
          <w:highlight w:val="none"/>
          <w:lang w:val="en-US" w:eastAsia="zh-CN"/>
        </w:rPr>
        <w:t>合同履行</w:t>
      </w:r>
      <w:r>
        <w:rPr>
          <w:rFonts w:hint="default" w:ascii="Times New Roman" w:hAnsi="Times New Roman" w:eastAsia="方正仿宋_GBK" w:cs="Times New Roman"/>
          <w:color w:val="auto"/>
          <w:sz w:val="24"/>
          <w:szCs w:val="24"/>
          <w:highlight w:val="none"/>
          <w:lang w:val="en-US" w:eastAsia="zh-CN"/>
        </w:rPr>
        <w:t>过程中出现的各种变更，由发标人与我方共同进行确认，</w:t>
      </w:r>
      <w:r>
        <w:rPr>
          <w:rFonts w:hint="eastAsia" w:eastAsia="方正仿宋_GBK" w:cs="Times New Roman"/>
          <w:color w:val="auto"/>
          <w:sz w:val="24"/>
          <w:szCs w:val="24"/>
          <w:highlight w:val="none"/>
          <w:lang w:val="en-US" w:eastAsia="zh-CN"/>
        </w:rPr>
        <w:t>并以</w:t>
      </w:r>
      <w:r>
        <w:rPr>
          <w:rFonts w:hint="default" w:ascii="Times New Roman" w:hAnsi="Times New Roman" w:eastAsia="方正仿宋_GBK" w:cs="Times New Roman"/>
          <w:color w:val="auto"/>
          <w:sz w:val="24"/>
          <w:szCs w:val="24"/>
          <w:highlight w:val="none"/>
          <w:lang w:val="en-US" w:eastAsia="zh-CN"/>
        </w:rPr>
        <w:t>最终协商结果为准。</w:t>
      </w:r>
    </w:p>
    <w:p w14:paraId="03F31548">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我方承诺：一旦我方中标，将保证</w:t>
      </w:r>
      <w:r>
        <w:rPr>
          <w:rFonts w:hint="eastAsia" w:eastAsia="方正仿宋_GBK" w:cs="Times New Roman"/>
          <w:color w:val="auto"/>
          <w:sz w:val="24"/>
          <w:szCs w:val="24"/>
          <w:highlight w:val="none"/>
          <w:lang w:val="en-US" w:eastAsia="zh-CN"/>
        </w:rPr>
        <w:t>按合同约定按期履行相关条款</w:t>
      </w:r>
      <w:r>
        <w:rPr>
          <w:rFonts w:hint="default" w:ascii="Times New Roman" w:hAnsi="Times New Roman" w:eastAsia="方正仿宋_GBK" w:cs="Times New Roman"/>
          <w:color w:val="auto"/>
          <w:sz w:val="24"/>
          <w:szCs w:val="24"/>
          <w:highlight w:val="none"/>
          <w:lang w:val="en-US" w:eastAsia="zh-CN"/>
        </w:rPr>
        <w:t>。</w:t>
      </w:r>
    </w:p>
    <w:p w14:paraId="63FFE5D8">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lang w:val="en-US" w:eastAsia="zh-CN"/>
        </w:rPr>
        <w:t>我方保证上述承诺的内容真实和准确，并愿意承担因我方就此弄虚作假所引起的一切法律后果。</w:t>
      </w:r>
    </w:p>
    <w:p w14:paraId="16C59211">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特此承诺</w:t>
      </w:r>
    </w:p>
    <w:p w14:paraId="20E7A7E2">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p>
    <w:p w14:paraId="60CC4D28">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投    标   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（盖单位章）</w:t>
      </w:r>
    </w:p>
    <w:p w14:paraId="7C202EF2">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p>
    <w:p w14:paraId="208A8E73">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法定代表人或其委托代理人：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（签字或盖章）</w:t>
      </w:r>
    </w:p>
    <w:p w14:paraId="1BE5F55E">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p>
    <w:p w14:paraId="601FA441">
      <w:pPr>
        <w:shd w:val="clear" w:color="auto" w:fill="FFFFFF"/>
        <w:spacing w:line="500" w:lineRule="exact"/>
        <w:ind w:firstLine="480" w:firstLineChars="200"/>
        <w:jc w:val="right"/>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color w:val="auto"/>
          <w:sz w:val="24"/>
          <w:szCs w:val="24"/>
          <w:highlight w:val="none"/>
          <w:lang w:val="en-US" w:eastAsia="zh-CN"/>
        </w:rPr>
        <w:t>日期：         年       月      日</w:t>
      </w:r>
    </w:p>
    <w:p w14:paraId="1A64724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highlight w:val="none"/>
          <w:lang w:eastAsia="zh-CN"/>
        </w:rPr>
      </w:pPr>
    </w:p>
    <w:p w14:paraId="07C51AA4">
      <w:pPr>
        <w:jc w:val="both"/>
        <w:rPr>
          <w:rFonts w:hint="default" w:ascii="Times New Roman" w:hAnsi="Times New Roman" w:eastAsia="宋体" w:cs="Times New Roman"/>
          <w:b/>
          <w:bCs/>
          <w:color w:val="auto"/>
          <w:sz w:val="36"/>
          <w:szCs w:val="32"/>
          <w:highlight w:val="none"/>
          <w:lang w:eastAsia="zh-CN"/>
        </w:rPr>
        <w:sectPr>
          <w:pgSz w:w="11906" w:h="16838"/>
          <w:pgMar w:top="1440" w:right="1274"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32" w:name="_Toc184635139"/>
    </w:p>
    <w:bookmarkEnd w:id="32"/>
    <w:p w14:paraId="21C9C9F6">
      <w:pPr>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eastAsia="方正黑体_GBK" w:cs="Times New Roman"/>
          <w:b/>
          <w:color w:val="auto"/>
          <w:kern w:val="2"/>
          <w:sz w:val="36"/>
          <w:szCs w:val="36"/>
          <w:highlight w:val="none"/>
          <w:lang w:val="en-US" w:eastAsia="zh-CN" w:bidi="ar-SA"/>
        </w:rPr>
        <w:t>三、投标一览表</w:t>
      </w:r>
    </w:p>
    <w:p w14:paraId="602C46D5">
      <w:pPr>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ascii="Times New Roman" w:hAnsi="Times New Roman" w:eastAsia="方正仿宋_GBK" w:cs="Times New Roman"/>
          <w:color w:val="auto"/>
          <w:sz w:val="24"/>
          <w:szCs w:val="24"/>
          <w:highlight w:val="none"/>
          <w:lang w:val="en-US" w:eastAsia="zh-CN"/>
        </w:rPr>
        <w:t>（投标单位自行制作）</w:t>
      </w:r>
      <w:r>
        <w:rPr>
          <w:rFonts w:hint="default" w:ascii="Times New Roman" w:hAnsi="Times New Roman" w:eastAsia="方正仿宋_GBK" w:cs="Times New Roman"/>
          <w:color w:val="auto"/>
          <w:sz w:val="24"/>
          <w:szCs w:val="24"/>
          <w:highlight w:val="none"/>
          <w:lang w:val="en-US" w:eastAsia="zh-CN"/>
        </w:rPr>
        <w:br w:type="page"/>
      </w:r>
      <w:r>
        <w:rPr>
          <w:rFonts w:hint="eastAsia" w:eastAsia="方正黑体_GBK" w:cs="Times New Roman"/>
          <w:b/>
          <w:color w:val="auto"/>
          <w:kern w:val="2"/>
          <w:sz w:val="36"/>
          <w:szCs w:val="36"/>
          <w:highlight w:val="none"/>
          <w:lang w:val="en-US" w:eastAsia="zh-CN" w:bidi="ar-SA"/>
        </w:rPr>
        <w:t>四、</w:t>
      </w:r>
      <w:r>
        <w:rPr>
          <w:rFonts w:hint="default" w:ascii="Times New Roman" w:hAnsi="Times New Roman" w:eastAsia="方正黑体_GBK" w:cs="Times New Roman"/>
          <w:b/>
          <w:color w:val="auto"/>
          <w:kern w:val="2"/>
          <w:sz w:val="36"/>
          <w:szCs w:val="36"/>
          <w:highlight w:val="none"/>
          <w:lang w:val="en-US" w:eastAsia="zh-CN" w:bidi="ar-SA"/>
        </w:rPr>
        <w:t>其他</w:t>
      </w:r>
    </w:p>
    <w:p w14:paraId="071F6B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方正仿宋_GBK" w:cs="Times New Roman"/>
          <w:b w:val="0"/>
          <w:bCs/>
          <w:color w:val="auto"/>
          <w:highlight w:val="none"/>
          <w:lang w:val="en-US" w:eastAsia="zh-CN"/>
        </w:rPr>
      </w:pPr>
      <w:r>
        <w:rPr>
          <w:rFonts w:hint="default" w:ascii="Times New Roman" w:hAnsi="Times New Roman" w:eastAsia="方正仿宋_GBK"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相关</w:t>
      </w:r>
      <w:r>
        <w:rPr>
          <w:rFonts w:hint="eastAsia" w:eastAsia="方正仿宋_GBK" w:cs="Times New Roman"/>
          <w:color w:val="auto"/>
          <w:sz w:val="24"/>
          <w:szCs w:val="24"/>
          <w:highlight w:val="none"/>
          <w:lang w:eastAsia="zh-CN"/>
        </w:rPr>
        <w:t>证明，用于评定技术服务分、商务分等</w:t>
      </w:r>
      <w:r>
        <w:rPr>
          <w:rFonts w:hint="default" w:ascii="Times New Roman" w:hAnsi="Times New Roman" w:eastAsia="方正仿宋_GBK" w:cs="Times New Roman"/>
          <w:color w:val="auto"/>
          <w:sz w:val="24"/>
          <w:szCs w:val="24"/>
          <w:highlight w:val="none"/>
          <w:lang w:eastAsia="zh-CN"/>
        </w:rPr>
        <w:t>）</w:t>
      </w:r>
    </w:p>
    <w:p w14:paraId="7FB9A645">
      <w:pPr>
        <w:widowControl/>
        <w:rPr>
          <w:rFonts w:hint="eastAsia" w:ascii="方正仿宋_GBK" w:hAnsi="方正仿宋_GBK" w:eastAsia="方正仿宋_GBK" w:cs="方正仿宋_GBK"/>
          <w:color w:val="auto"/>
          <w:sz w:val="24"/>
          <w:szCs w:val="24"/>
          <w:lang w:eastAsia="zh-CN"/>
        </w:rPr>
      </w:pPr>
    </w:p>
    <w:p w14:paraId="6271092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Cs/>
          <w:color w:val="auto"/>
          <w:sz w:val="32"/>
          <w:szCs w:val="32"/>
        </w:rPr>
      </w:pPr>
    </w:p>
    <w:sectPr>
      <w:footerReference r:id="rId8"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宋体-18030">
    <w:altName w:val="黑体"/>
    <w:panose1 w:val="00000000000000000000"/>
    <w:charset w:val="86"/>
    <w:family w:val="moder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0F85">
    <w:pPr>
      <w:pStyle w:val="11"/>
      <w:rPr>
        <w:rStyle w:val="19"/>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03EFB">
                          <w:pPr>
                            <w:pStyle w:val="11"/>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D03EFB">
                    <w:pPr>
                      <w:pStyle w:val="11"/>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14:paraId="21A93C21">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28244">
    <w:pPr>
      <w:pStyle w:val="11"/>
      <w:framePr w:wrap="around" w:vAnchor="text" w:hAnchor="margin" w:xAlign="center" w:y="1"/>
      <w:rPr>
        <w:rStyle w:val="19"/>
      </w:rPr>
    </w:pPr>
    <w:r>
      <w:fldChar w:fldCharType="begin"/>
    </w:r>
    <w:r>
      <w:rPr>
        <w:rStyle w:val="19"/>
      </w:rPr>
      <w:instrText xml:space="preserve">PAGE  </w:instrText>
    </w:r>
    <w:r>
      <w:fldChar w:fldCharType="end"/>
    </w:r>
  </w:p>
  <w:p w14:paraId="38F7647B">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45BD">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428A4">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A428A4">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D27A">
    <w:pPr>
      <w:pStyle w:val="11"/>
      <w:rPr>
        <w:rStyle w:val="19"/>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308FF">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00308FF">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14:paraId="7617FD16">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FB95">
    <w:pPr>
      <w:pStyle w:val="12"/>
      <w:pBdr>
        <w:bottom w:val="none" w:color="auto" w:sz="0" w:space="1"/>
      </w:pBdr>
      <w:tabs>
        <w:tab w:val="left" w:pos="6306"/>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7FD8">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FA600"/>
    <w:multiLevelType w:val="singleLevel"/>
    <w:tmpl w:val="396FA6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F2"/>
    <w:rsid w:val="0001398C"/>
    <w:rsid w:val="000223F4"/>
    <w:rsid w:val="00052391"/>
    <w:rsid w:val="00056D51"/>
    <w:rsid w:val="0007135D"/>
    <w:rsid w:val="00081923"/>
    <w:rsid w:val="000B18A3"/>
    <w:rsid w:val="000B37DA"/>
    <w:rsid w:val="000B64E6"/>
    <w:rsid w:val="000C05EE"/>
    <w:rsid w:val="000E6912"/>
    <w:rsid w:val="00131D9A"/>
    <w:rsid w:val="001370C7"/>
    <w:rsid w:val="0014304D"/>
    <w:rsid w:val="001452E5"/>
    <w:rsid w:val="00155378"/>
    <w:rsid w:val="00164AD6"/>
    <w:rsid w:val="00174CAA"/>
    <w:rsid w:val="00197586"/>
    <w:rsid w:val="001A3454"/>
    <w:rsid w:val="001B7BF3"/>
    <w:rsid w:val="001C224E"/>
    <w:rsid w:val="001D1233"/>
    <w:rsid w:val="001F2682"/>
    <w:rsid w:val="00215005"/>
    <w:rsid w:val="002272E9"/>
    <w:rsid w:val="002614BF"/>
    <w:rsid w:val="002675B1"/>
    <w:rsid w:val="002A71C4"/>
    <w:rsid w:val="002B21A8"/>
    <w:rsid w:val="002B71F3"/>
    <w:rsid w:val="002C1B78"/>
    <w:rsid w:val="002D4730"/>
    <w:rsid w:val="002D4C73"/>
    <w:rsid w:val="002D7C50"/>
    <w:rsid w:val="002D7D1F"/>
    <w:rsid w:val="00303E1B"/>
    <w:rsid w:val="00307198"/>
    <w:rsid w:val="00323DCD"/>
    <w:rsid w:val="0033409D"/>
    <w:rsid w:val="00374261"/>
    <w:rsid w:val="003829B1"/>
    <w:rsid w:val="003E09B1"/>
    <w:rsid w:val="004104E8"/>
    <w:rsid w:val="00425E7E"/>
    <w:rsid w:val="00445D66"/>
    <w:rsid w:val="00451F73"/>
    <w:rsid w:val="00457294"/>
    <w:rsid w:val="004705FF"/>
    <w:rsid w:val="004E51AD"/>
    <w:rsid w:val="004F48F3"/>
    <w:rsid w:val="004F61CC"/>
    <w:rsid w:val="005135C0"/>
    <w:rsid w:val="00532940"/>
    <w:rsid w:val="0055791B"/>
    <w:rsid w:val="00581202"/>
    <w:rsid w:val="00581EF2"/>
    <w:rsid w:val="00584CE2"/>
    <w:rsid w:val="0059398F"/>
    <w:rsid w:val="005A2F7C"/>
    <w:rsid w:val="005A6357"/>
    <w:rsid w:val="005C0539"/>
    <w:rsid w:val="005D42D6"/>
    <w:rsid w:val="005D4364"/>
    <w:rsid w:val="005E340D"/>
    <w:rsid w:val="00630E80"/>
    <w:rsid w:val="00653664"/>
    <w:rsid w:val="00671CCA"/>
    <w:rsid w:val="00675465"/>
    <w:rsid w:val="00696453"/>
    <w:rsid w:val="0069669B"/>
    <w:rsid w:val="006D5244"/>
    <w:rsid w:val="006F27CE"/>
    <w:rsid w:val="00713E13"/>
    <w:rsid w:val="00717E15"/>
    <w:rsid w:val="007234CF"/>
    <w:rsid w:val="007254B4"/>
    <w:rsid w:val="00726288"/>
    <w:rsid w:val="00726F08"/>
    <w:rsid w:val="00727D32"/>
    <w:rsid w:val="00744381"/>
    <w:rsid w:val="007514E8"/>
    <w:rsid w:val="007655AA"/>
    <w:rsid w:val="007739D0"/>
    <w:rsid w:val="007D0878"/>
    <w:rsid w:val="00826AE5"/>
    <w:rsid w:val="00856544"/>
    <w:rsid w:val="00875A43"/>
    <w:rsid w:val="00881ED7"/>
    <w:rsid w:val="008B7C02"/>
    <w:rsid w:val="008D3066"/>
    <w:rsid w:val="008D75F5"/>
    <w:rsid w:val="009145ED"/>
    <w:rsid w:val="0094121E"/>
    <w:rsid w:val="00947AD6"/>
    <w:rsid w:val="009518A5"/>
    <w:rsid w:val="00963993"/>
    <w:rsid w:val="00983E2A"/>
    <w:rsid w:val="009862AB"/>
    <w:rsid w:val="009B23FC"/>
    <w:rsid w:val="009F2E84"/>
    <w:rsid w:val="00A1719C"/>
    <w:rsid w:val="00A21EB3"/>
    <w:rsid w:val="00A452D3"/>
    <w:rsid w:val="00A66C66"/>
    <w:rsid w:val="00A70971"/>
    <w:rsid w:val="00AB7EED"/>
    <w:rsid w:val="00B134FB"/>
    <w:rsid w:val="00B31586"/>
    <w:rsid w:val="00B47C42"/>
    <w:rsid w:val="00B5355F"/>
    <w:rsid w:val="00B653B2"/>
    <w:rsid w:val="00B66E87"/>
    <w:rsid w:val="00B93D76"/>
    <w:rsid w:val="00BF4644"/>
    <w:rsid w:val="00C0554A"/>
    <w:rsid w:val="00C11CAA"/>
    <w:rsid w:val="00C41B17"/>
    <w:rsid w:val="00C634AD"/>
    <w:rsid w:val="00CD1ED5"/>
    <w:rsid w:val="00CE5AA2"/>
    <w:rsid w:val="00D12180"/>
    <w:rsid w:val="00D51372"/>
    <w:rsid w:val="00D8544D"/>
    <w:rsid w:val="00D854E0"/>
    <w:rsid w:val="00D946A5"/>
    <w:rsid w:val="00DD4614"/>
    <w:rsid w:val="00DE63CF"/>
    <w:rsid w:val="00E01861"/>
    <w:rsid w:val="00E452CD"/>
    <w:rsid w:val="00E63E73"/>
    <w:rsid w:val="00EA1777"/>
    <w:rsid w:val="00EC008F"/>
    <w:rsid w:val="00EF16E7"/>
    <w:rsid w:val="00F03485"/>
    <w:rsid w:val="00F03488"/>
    <w:rsid w:val="00F23D73"/>
    <w:rsid w:val="00F510DB"/>
    <w:rsid w:val="00F63FD9"/>
    <w:rsid w:val="00F65E07"/>
    <w:rsid w:val="00F666F3"/>
    <w:rsid w:val="00F77F70"/>
    <w:rsid w:val="00F90DB4"/>
    <w:rsid w:val="00FE193E"/>
    <w:rsid w:val="010E61A5"/>
    <w:rsid w:val="01125EE3"/>
    <w:rsid w:val="01173D1E"/>
    <w:rsid w:val="01236128"/>
    <w:rsid w:val="012B539C"/>
    <w:rsid w:val="013513D4"/>
    <w:rsid w:val="013A6D70"/>
    <w:rsid w:val="013C5CC4"/>
    <w:rsid w:val="01400BBE"/>
    <w:rsid w:val="01410666"/>
    <w:rsid w:val="014D7126"/>
    <w:rsid w:val="018F078E"/>
    <w:rsid w:val="01971E26"/>
    <w:rsid w:val="019C7593"/>
    <w:rsid w:val="01A52C39"/>
    <w:rsid w:val="01B32E07"/>
    <w:rsid w:val="01B55DB7"/>
    <w:rsid w:val="01CD2EE8"/>
    <w:rsid w:val="01D73F92"/>
    <w:rsid w:val="01DD6D20"/>
    <w:rsid w:val="01EA360C"/>
    <w:rsid w:val="020142D5"/>
    <w:rsid w:val="020B368C"/>
    <w:rsid w:val="020E2E2B"/>
    <w:rsid w:val="023B685E"/>
    <w:rsid w:val="026A7417"/>
    <w:rsid w:val="02726BBC"/>
    <w:rsid w:val="027C4E6B"/>
    <w:rsid w:val="02803BAE"/>
    <w:rsid w:val="02A1013A"/>
    <w:rsid w:val="02A80229"/>
    <w:rsid w:val="02AB048E"/>
    <w:rsid w:val="02AF24EC"/>
    <w:rsid w:val="02C16210"/>
    <w:rsid w:val="02CD4A87"/>
    <w:rsid w:val="02E33FAC"/>
    <w:rsid w:val="02E53BC7"/>
    <w:rsid w:val="02EA78EA"/>
    <w:rsid w:val="02EF045D"/>
    <w:rsid w:val="02F00811"/>
    <w:rsid w:val="02F36818"/>
    <w:rsid w:val="02FE4A7B"/>
    <w:rsid w:val="0303650B"/>
    <w:rsid w:val="03092520"/>
    <w:rsid w:val="03095F70"/>
    <w:rsid w:val="03232E53"/>
    <w:rsid w:val="032B7527"/>
    <w:rsid w:val="03303CFB"/>
    <w:rsid w:val="03390151"/>
    <w:rsid w:val="03390521"/>
    <w:rsid w:val="034951AF"/>
    <w:rsid w:val="03572AD4"/>
    <w:rsid w:val="036B45A2"/>
    <w:rsid w:val="03780262"/>
    <w:rsid w:val="0380148C"/>
    <w:rsid w:val="038370FB"/>
    <w:rsid w:val="03853917"/>
    <w:rsid w:val="039A4266"/>
    <w:rsid w:val="03C54F02"/>
    <w:rsid w:val="03CB59B3"/>
    <w:rsid w:val="03E6175F"/>
    <w:rsid w:val="03F51486"/>
    <w:rsid w:val="03F56705"/>
    <w:rsid w:val="041279B8"/>
    <w:rsid w:val="04284F90"/>
    <w:rsid w:val="04306ADD"/>
    <w:rsid w:val="044F57D8"/>
    <w:rsid w:val="045B372A"/>
    <w:rsid w:val="046B6589"/>
    <w:rsid w:val="04796148"/>
    <w:rsid w:val="04825CEB"/>
    <w:rsid w:val="04955CA4"/>
    <w:rsid w:val="04AA3F77"/>
    <w:rsid w:val="04BA1CFC"/>
    <w:rsid w:val="04C34A3C"/>
    <w:rsid w:val="04FA74A1"/>
    <w:rsid w:val="04FD7C73"/>
    <w:rsid w:val="050B75BA"/>
    <w:rsid w:val="050B7E00"/>
    <w:rsid w:val="053269BA"/>
    <w:rsid w:val="053926A0"/>
    <w:rsid w:val="053C468C"/>
    <w:rsid w:val="054A12AC"/>
    <w:rsid w:val="054E03D7"/>
    <w:rsid w:val="05602F7A"/>
    <w:rsid w:val="05632802"/>
    <w:rsid w:val="0567461A"/>
    <w:rsid w:val="058317C8"/>
    <w:rsid w:val="058B0AF7"/>
    <w:rsid w:val="05A65E87"/>
    <w:rsid w:val="05AC5D99"/>
    <w:rsid w:val="05B221C9"/>
    <w:rsid w:val="05B52A72"/>
    <w:rsid w:val="05D566BA"/>
    <w:rsid w:val="05D57737"/>
    <w:rsid w:val="05D92D82"/>
    <w:rsid w:val="05DB3932"/>
    <w:rsid w:val="05E43EA4"/>
    <w:rsid w:val="05ED5278"/>
    <w:rsid w:val="05F42682"/>
    <w:rsid w:val="06031712"/>
    <w:rsid w:val="06282FEC"/>
    <w:rsid w:val="062D3F06"/>
    <w:rsid w:val="06383D1E"/>
    <w:rsid w:val="06636EE4"/>
    <w:rsid w:val="066559D0"/>
    <w:rsid w:val="0675144B"/>
    <w:rsid w:val="068D4A9F"/>
    <w:rsid w:val="069229E1"/>
    <w:rsid w:val="06A736E9"/>
    <w:rsid w:val="06A87DC0"/>
    <w:rsid w:val="06AA28B4"/>
    <w:rsid w:val="06E33F5B"/>
    <w:rsid w:val="07046291"/>
    <w:rsid w:val="07165758"/>
    <w:rsid w:val="071823EB"/>
    <w:rsid w:val="071C2B1D"/>
    <w:rsid w:val="071E7645"/>
    <w:rsid w:val="07320F56"/>
    <w:rsid w:val="073C1192"/>
    <w:rsid w:val="074C1DB2"/>
    <w:rsid w:val="0752764C"/>
    <w:rsid w:val="0759228A"/>
    <w:rsid w:val="07605A70"/>
    <w:rsid w:val="07704772"/>
    <w:rsid w:val="0771457F"/>
    <w:rsid w:val="077748E4"/>
    <w:rsid w:val="077965D0"/>
    <w:rsid w:val="077F70D7"/>
    <w:rsid w:val="078C733C"/>
    <w:rsid w:val="0797050E"/>
    <w:rsid w:val="07B72ABF"/>
    <w:rsid w:val="07B7633F"/>
    <w:rsid w:val="07C01F3E"/>
    <w:rsid w:val="07DA7EB3"/>
    <w:rsid w:val="07E747E6"/>
    <w:rsid w:val="07FF7FED"/>
    <w:rsid w:val="083B67BD"/>
    <w:rsid w:val="083D7214"/>
    <w:rsid w:val="08764781"/>
    <w:rsid w:val="087F2B71"/>
    <w:rsid w:val="0891217B"/>
    <w:rsid w:val="08C760E0"/>
    <w:rsid w:val="08CC6C73"/>
    <w:rsid w:val="08EF1965"/>
    <w:rsid w:val="08F424E9"/>
    <w:rsid w:val="09074455"/>
    <w:rsid w:val="090B5E94"/>
    <w:rsid w:val="09281FAC"/>
    <w:rsid w:val="092C5D08"/>
    <w:rsid w:val="09481E2F"/>
    <w:rsid w:val="096546C2"/>
    <w:rsid w:val="09662A3A"/>
    <w:rsid w:val="097434F0"/>
    <w:rsid w:val="097A1AAB"/>
    <w:rsid w:val="097E39C0"/>
    <w:rsid w:val="097F1B7E"/>
    <w:rsid w:val="099432AF"/>
    <w:rsid w:val="09AD3D9D"/>
    <w:rsid w:val="09E53E51"/>
    <w:rsid w:val="09EF4F7C"/>
    <w:rsid w:val="0A2046D1"/>
    <w:rsid w:val="0A2437A9"/>
    <w:rsid w:val="0A322A16"/>
    <w:rsid w:val="0A392044"/>
    <w:rsid w:val="0A3B05C0"/>
    <w:rsid w:val="0A49364F"/>
    <w:rsid w:val="0A552172"/>
    <w:rsid w:val="0A75498C"/>
    <w:rsid w:val="0A7A443A"/>
    <w:rsid w:val="0A99600B"/>
    <w:rsid w:val="0A9A1BAC"/>
    <w:rsid w:val="0AA83291"/>
    <w:rsid w:val="0AA94B54"/>
    <w:rsid w:val="0AC80225"/>
    <w:rsid w:val="0AC8180C"/>
    <w:rsid w:val="0AC838AE"/>
    <w:rsid w:val="0AEF5C5C"/>
    <w:rsid w:val="0AFF4D9E"/>
    <w:rsid w:val="0B1811E4"/>
    <w:rsid w:val="0B183F39"/>
    <w:rsid w:val="0B2D18E4"/>
    <w:rsid w:val="0B49324A"/>
    <w:rsid w:val="0B4A75CF"/>
    <w:rsid w:val="0B5318FE"/>
    <w:rsid w:val="0B7973A1"/>
    <w:rsid w:val="0B925725"/>
    <w:rsid w:val="0B936E4B"/>
    <w:rsid w:val="0B9D0657"/>
    <w:rsid w:val="0BB847D0"/>
    <w:rsid w:val="0BC42B94"/>
    <w:rsid w:val="0BE51CE6"/>
    <w:rsid w:val="0BF67AD7"/>
    <w:rsid w:val="0BFA7B1F"/>
    <w:rsid w:val="0C0A34A2"/>
    <w:rsid w:val="0C102823"/>
    <w:rsid w:val="0C2512D9"/>
    <w:rsid w:val="0C2A651D"/>
    <w:rsid w:val="0C2C5F11"/>
    <w:rsid w:val="0C392DE3"/>
    <w:rsid w:val="0C430844"/>
    <w:rsid w:val="0C50384F"/>
    <w:rsid w:val="0C6201CF"/>
    <w:rsid w:val="0C6E2647"/>
    <w:rsid w:val="0C7A7300"/>
    <w:rsid w:val="0C7C0E88"/>
    <w:rsid w:val="0C7D4710"/>
    <w:rsid w:val="0C852874"/>
    <w:rsid w:val="0C8F0A0D"/>
    <w:rsid w:val="0C9C36FA"/>
    <w:rsid w:val="0C9E58CC"/>
    <w:rsid w:val="0C9F6BE7"/>
    <w:rsid w:val="0CAE6BA4"/>
    <w:rsid w:val="0CB96584"/>
    <w:rsid w:val="0CBF5936"/>
    <w:rsid w:val="0CCD699F"/>
    <w:rsid w:val="0CCE420A"/>
    <w:rsid w:val="0CD21E5A"/>
    <w:rsid w:val="0CE962F8"/>
    <w:rsid w:val="0CEA6BF9"/>
    <w:rsid w:val="0CEA7085"/>
    <w:rsid w:val="0CF904DC"/>
    <w:rsid w:val="0D0B362D"/>
    <w:rsid w:val="0D2E7AFE"/>
    <w:rsid w:val="0D3E4A79"/>
    <w:rsid w:val="0D6B1328"/>
    <w:rsid w:val="0D6F504F"/>
    <w:rsid w:val="0D8D4815"/>
    <w:rsid w:val="0DA8154E"/>
    <w:rsid w:val="0DAA2505"/>
    <w:rsid w:val="0DD207B2"/>
    <w:rsid w:val="0E0E0E17"/>
    <w:rsid w:val="0E135439"/>
    <w:rsid w:val="0E153AA5"/>
    <w:rsid w:val="0E1A0FCC"/>
    <w:rsid w:val="0E1C1315"/>
    <w:rsid w:val="0E2249B7"/>
    <w:rsid w:val="0E4F15C4"/>
    <w:rsid w:val="0E560E44"/>
    <w:rsid w:val="0E57025A"/>
    <w:rsid w:val="0E6901B8"/>
    <w:rsid w:val="0E7121C9"/>
    <w:rsid w:val="0E83048B"/>
    <w:rsid w:val="0E9757B0"/>
    <w:rsid w:val="0E9C2E85"/>
    <w:rsid w:val="0EB41BEA"/>
    <w:rsid w:val="0EBD5060"/>
    <w:rsid w:val="0EEC3A05"/>
    <w:rsid w:val="0EEF5D47"/>
    <w:rsid w:val="0EF377FE"/>
    <w:rsid w:val="0F1645B1"/>
    <w:rsid w:val="0F1676DD"/>
    <w:rsid w:val="0F1C7051"/>
    <w:rsid w:val="0F2531D9"/>
    <w:rsid w:val="0F4F48BF"/>
    <w:rsid w:val="0F535E2B"/>
    <w:rsid w:val="0F581916"/>
    <w:rsid w:val="0F5846B6"/>
    <w:rsid w:val="0F62607F"/>
    <w:rsid w:val="0F6C16F5"/>
    <w:rsid w:val="0F7F3DE9"/>
    <w:rsid w:val="0FB878F0"/>
    <w:rsid w:val="0FC94DFF"/>
    <w:rsid w:val="0FDB4C05"/>
    <w:rsid w:val="1003447E"/>
    <w:rsid w:val="100C4707"/>
    <w:rsid w:val="10132B80"/>
    <w:rsid w:val="102A0010"/>
    <w:rsid w:val="103463EA"/>
    <w:rsid w:val="10401E07"/>
    <w:rsid w:val="10836663"/>
    <w:rsid w:val="10944137"/>
    <w:rsid w:val="10A4253A"/>
    <w:rsid w:val="10B778D6"/>
    <w:rsid w:val="10BF03CC"/>
    <w:rsid w:val="10D56820"/>
    <w:rsid w:val="10E11271"/>
    <w:rsid w:val="10FA36D3"/>
    <w:rsid w:val="11062073"/>
    <w:rsid w:val="11203F40"/>
    <w:rsid w:val="11227B2B"/>
    <w:rsid w:val="113318B6"/>
    <w:rsid w:val="11344F16"/>
    <w:rsid w:val="11581AC3"/>
    <w:rsid w:val="115E4563"/>
    <w:rsid w:val="11607C45"/>
    <w:rsid w:val="11826B7A"/>
    <w:rsid w:val="119B77DB"/>
    <w:rsid w:val="119D7D10"/>
    <w:rsid w:val="11A478D0"/>
    <w:rsid w:val="11A768BA"/>
    <w:rsid w:val="11AC6258"/>
    <w:rsid w:val="11B35475"/>
    <w:rsid w:val="11C646FD"/>
    <w:rsid w:val="11DE0DE4"/>
    <w:rsid w:val="11F021BE"/>
    <w:rsid w:val="11F661AA"/>
    <w:rsid w:val="11FC6770"/>
    <w:rsid w:val="12195D6D"/>
    <w:rsid w:val="122F514B"/>
    <w:rsid w:val="12327D9D"/>
    <w:rsid w:val="124968A1"/>
    <w:rsid w:val="12520C2B"/>
    <w:rsid w:val="1253339E"/>
    <w:rsid w:val="12534EDF"/>
    <w:rsid w:val="125C691D"/>
    <w:rsid w:val="125E106F"/>
    <w:rsid w:val="126C7845"/>
    <w:rsid w:val="12735A33"/>
    <w:rsid w:val="127D038A"/>
    <w:rsid w:val="12883FF5"/>
    <w:rsid w:val="12AE1B80"/>
    <w:rsid w:val="12C77ED6"/>
    <w:rsid w:val="12D43B90"/>
    <w:rsid w:val="12D77FA8"/>
    <w:rsid w:val="130D2361"/>
    <w:rsid w:val="13123609"/>
    <w:rsid w:val="13172586"/>
    <w:rsid w:val="132D39FD"/>
    <w:rsid w:val="132D7BE0"/>
    <w:rsid w:val="133446D8"/>
    <w:rsid w:val="135D1B68"/>
    <w:rsid w:val="13613D5E"/>
    <w:rsid w:val="13687F92"/>
    <w:rsid w:val="13745C1E"/>
    <w:rsid w:val="137D446B"/>
    <w:rsid w:val="138251D4"/>
    <w:rsid w:val="138A6BB4"/>
    <w:rsid w:val="139139C7"/>
    <w:rsid w:val="13951F80"/>
    <w:rsid w:val="139B5828"/>
    <w:rsid w:val="139E75BD"/>
    <w:rsid w:val="13B33132"/>
    <w:rsid w:val="13B46F95"/>
    <w:rsid w:val="13BC039C"/>
    <w:rsid w:val="13DA3D18"/>
    <w:rsid w:val="13EE430B"/>
    <w:rsid w:val="140C4797"/>
    <w:rsid w:val="140D6C76"/>
    <w:rsid w:val="14111A16"/>
    <w:rsid w:val="142D4AFC"/>
    <w:rsid w:val="1458345D"/>
    <w:rsid w:val="14605B83"/>
    <w:rsid w:val="14626832"/>
    <w:rsid w:val="146F0432"/>
    <w:rsid w:val="14817E91"/>
    <w:rsid w:val="148257E6"/>
    <w:rsid w:val="1486187B"/>
    <w:rsid w:val="148D445F"/>
    <w:rsid w:val="149F5118"/>
    <w:rsid w:val="14E34285"/>
    <w:rsid w:val="14E6014C"/>
    <w:rsid w:val="14F90916"/>
    <w:rsid w:val="14FF6AE5"/>
    <w:rsid w:val="15027908"/>
    <w:rsid w:val="15064F45"/>
    <w:rsid w:val="150D0383"/>
    <w:rsid w:val="15136D2E"/>
    <w:rsid w:val="151514E2"/>
    <w:rsid w:val="1519293C"/>
    <w:rsid w:val="151A1C24"/>
    <w:rsid w:val="153A2A6A"/>
    <w:rsid w:val="153E2096"/>
    <w:rsid w:val="15652D2E"/>
    <w:rsid w:val="156674A0"/>
    <w:rsid w:val="1567471B"/>
    <w:rsid w:val="15685FEA"/>
    <w:rsid w:val="15917967"/>
    <w:rsid w:val="159A3498"/>
    <w:rsid w:val="159E6304"/>
    <w:rsid w:val="15AA7290"/>
    <w:rsid w:val="15AF3A08"/>
    <w:rsid w:val="15CF0981"/>
    <w:rsid w:val="15DE7042"/>
    <w:rsid w:val="15E643B1"/>
    <w:rsid w:val="15FA0886"/>
    <w:rsid w:val="15FF2DF8"/>
    <w:rsid w:val="16046FE3"/>
    <w:rsid w:val="1605396D"/>
    <w:rsid w:val="16205B86"/>
    <w:rsid w:val="16207556"/>
    <w:rsid w:val="16394249"/>
    <w:rsid w:val="165135F0"/>
    <w:rsid w:val="1652111C"/>
    <w:rsid w:val="165944C2"/>
    <w:rsid w:val="16704AC4"/>
    <w:rsid w:val="16805EB9"/>
    <w:rsid w:val="16831DB7"/>
    <w:rsid w:val="16963BB1"/>
    <w:rsid w:val="16A57716"/>
    <w:rsid w:val="16A60636"/>
    <w:rsid w:val="16BC40DF"/>
    <w:rsid w:val="16BD4151"/>
    <w:rsid w:val="16D02C15"/>
    <w:rsid w:val="16E0239C"/>
    <w:rsid w:val="16E75F6F"/>
    <w:rsid w:val="16F6703F"/>
    <w:rsid w:val="16F76889"/>
    <w:rsid w:val="16FD7873"/>
    <w:rsid w:val="17155EC9"/>
    <w:rsid w:val="171A1A99"/>
    <w:rsid w:val="1753533F"/>
    <w:rsid w:val="175616F6"/>
    <w:rsid w:val="176C277A"/>
    <w:rsid w:val="17914ACC"/>
    <w:rsid w:val="179504FC"/>
    <w:rsid w:val="179A0A1E"/>
    <w:rsid w:val="17AC7956"/>
    <w:rsid w:val="17AE2FF2"/>
    <w:rsid w:val="17BA16F2"/>
    <w:rsid w:val="17BB358F"/>
    <w:rsid w:val="17BE2A1F"/>
    <w:rsid w:val="17C3070D"/>
    <w:rsid w:val="17C31B1D"/>
    <w:rsid w:val="17D354BC"/>
    <w:rsid w:val="17D660D0"/>
    <w:rsid w:val="17DF418B"/>
    <w:rsid w:val="17E5446C"/>
    <w:rsid w:val="17EE5608"/>
    <w:rsid w:val="18142943"/>
    <w:rsid w:val="18150FFF"/>
    <w:rsid w:val="183A3D05"/>
    <w:rsid w:val="18635BD7"/>
    <w:rsid w:val="18666558"/>
    <w:rsid w:val="18855C89"/>
    <w:rsid w:val="189448EB"/>
    <w:rsid w:val="18A037DD"/>
    <w:rsid w:val="18C6498C"/>
    <w:rsid w:val="18CA5F62"/>
    <w:rsid w:val="18D1665F"/>
    <w:rsid w:val="18E20C84"/>
    <w:rsid w:val="18F141D1"/>
    <w:rsid w:val="190E6F78"/>
    <w:rsid w:val="19194E72"/>
    <w:rsid w:val="19301C85"/>
    <w:rsid w:val="19310F5A"/>
    <w:rsid w:val="19576FA0"/>
    <w:rsid w:val="195E2C3A"/>
    <w:rsid w:val="196D204E"/>
    <w:rsid w:val="19835F00"/>
    <w:rsid w:val="19941ABA"/>
    <w:rsid w:val="199759F8"/>
    <w:rsid w:val="19CB14DE"/>
    <w:rsid w:val="19D46EEE"/>
    <w:rsid w:val="19DB1C8D"/>
    <w:rsid w:val="19EC5296"/>
    <w:rsid w:val="19ED2478"/>
    <w:rsid w:val="19F57B29"/>
    <w:rsid w:val="19FA462C"/>
    <w:rsid w:val="1A17490A"/>
    <w:rsid w:val="1A3348DC"/>
    <w:rsid w:val="1A4923E6"/>
    <w:rsid w:val="1A496F21"/>
    <w:rsid w:val="1A4E0E75"/>
    <w:rsid w:val="1A8E2021"/>
    <w:rsid w:val="1A9D31A3"/>
    <w:rsid w:val="1AA07EF6"/>
    <w:rsid w:val="1AB04758"/>
    <w:rsid w:val="1AB57F38"/>
    <w:rsid w:val="1ADD70DB"/>
    <w:rsid w:val="1AE754D3"/>
    <w:rsid w:val="1B1053DA"/>
    <w:rsid w:val="1B246FFB"/>
    <w:rsid w:val="1B614B81"/>
    <w:rsid w:val="1B6C37C2"/>
    <w:rsid w:val="1B724559"/>
    <w:rsid w:val="1B9A385D"/>
    <w:rsid w:val="1BAF5053"/>
    <w:rsid w:val="1BC81769"/>
    <w:rsid w:val="1BCD23C4"/>
    <w:rsid w:val="1BEB58BF"/>
    <w:rsid w:val="1BFB147B"/>
    <w:rsid w:val="1C1E143F"/>
    <w:rsid w:val="1C221D3B"/>
    <w:rsid w:val="1C222CC0"/>
    <w:rsid w:val="1C36317A"/>
    <w:rsid w:val="1C3E69C8"/>
    <w:rsid w:val="1C432C48"/>
    <w:rsid w:val="1C6125DF"/>
    <w:rsid w:val="1C66156B"/>
    <w:rsid w:val="1C703AC5"/>
    <w:rsid w:val="1CAE664E"/>
    <w:rsid w:val="1CB95975"/>
    <w:rsid w:val="1D1757C8"/>
    <w:rsid w:val="1D424C1E"/>
    <w:rsid w:val="1D6A46B8"/>
    <w:rsid w:val="1D737311"/>
    <w:rsid w:val="1D761BF7"/>
    <w:rsid w:val="1D7744A6"/>
    <w:rsid w:val="1D850D39"/>
    <w:rsid w:val="1D851B33"/>
    <w:rsid w:val="1D856913"/>
    <w:rsid w:val="1D947A49"/>
    <w:rsid w:val="1D9A247E"/>
    <w:rsid w:val="1DA45E29"/>
    <w:rsid w:val="1DA877C7"/>
    <w:rsid w:val="1DB21C98"/>
    <w:rsid w:val="1DBC4B0D"/>
    <w:rsid w:val="1DC21657"/>
    <w:rsid w:val="1DC56088"/>
    <w:rsid w:val="1DD13A71"/>
    <w:rsid w:val="1DD54C1C"/>
    <w:rsid w:val="1DD65B74"/>
    <w:rsid w:val="1DE955E9"/>
    <w:rsid w:val="1DF803A8"/>
    <w:rsid w:val="1E15758A"/>
    <w:rsid w:val="1E4300AB"/>
    <w:rsid w:val="1E4531FB"/>
    <w:rsid w:val="1E4C6823"/>
    <w:rsid w:val="1E573EC3"/>
    <w:rsid w:val="1E6E0A15"/>
    <w:rsid w:val="1E794E52"/>
    <w:rsid w:val="1E7B2D31"/>
    <w:rsid w:val="1E80430A"/>
    <w:rsid w:val="1E885693"/>
    <w:rsid w:val="1E98156C"/>
    <w:rsid w:val="1E9D3F85"/>
    <w:rsid w:val="1EA06820"/>
    <w:rsid w:val="1EAF0FC1"/>
    <w:rsid w:val="1EB82C0D"/>
    <w:rsid w:val="1EB84D78"/>
    <w:rsid w:val="1EBE39FB"/>
    <w:rsid w:val="1EC201B4"/>
    <w:rsid w:val="1ECD00DA"/>
    <w:rsid w:val="1ED14EF0"/>
    <w:rsid w:val="1EDB6A77"/>
    <w:rsid w:val="1EF754A0"/>
    <w:rsid w:val="1F0B3077"/>
    <w:rsid w:val="1F1E49BE"/>
    <w:rsid w:val="1F364C81"/>
    <w:rsid w:val="1F3F5E6C"/>
    <w:rsid w:val="1F516251"/>
    <w:rsid w:val="1F6721BD"/>
    <w:rsid w:val="1F6F5B94"/>
    <w:rsid w:val="1F7D7942"/>
    <w:rsid w:val="1F7E4F14"/>
    <w:rsid w:val="1F8663DF"/>
    <w:rsid w:val="1FC41353"/>
    <w:rsid w:val="1FEA66D9"/>
    <w:rsid w:val="1FF96C00"/>
    <w:rsid w:val="201724DA"/>
    <w:rsid w:val="201E714A"/>
    <w:rsid w:val="203E773D"/>
    <w:rsid w:val="204A31A6"/>
    <w:rsid w:val="205D0FBB"/>
    <w:rsid w:val="20655A38"/>
    <w:rsid w:val="206775EB"/>
    <w:rsid w:val="206F5C2A"/>
    <w:rsid w:val="20723EF0"/>
    <w:rsid w:val="207A33EE"/>
    <w:rsid w:val="207F1E05"/>
    <w:rsid w:val="2082325C"/>
    <w:rsid w:val="208333E0"/>
    <w:rsid w:val="208C7A6D"/>
    <w:rsid w:val="20955128"/>
    <w:rsid w:val="20A30017"/>
    <w:rsid w:val="20C17E0F"/>
    <w:rsid w:val="20C83A8B"/>
    <w:rsid w:val="20CD4F94"/>
    <w:rsid w:val="20CE262E"/>
    <w:rsid w:val="20D864EE"/>
    <w:rsid w:val="20DB1FDA"/>
    <w:rsid w:val="20E93DBF"/>
    <w:rsid w:val="20F9032F"/>
    <w:rsid w:val="20FD273F"/>
    <w:rsid w:val="211F299A"/>
    <w:rsid w:val="21222B13"/>
    <w:rsid w:val="212310B0"/>
    <w:rsid w:val="21337B37"/>
    <w:rsid w:val="21351D08"/>
    <w:rsid w:val="215B3618"/>
    <w:rsid w:val="21891659"/>
    <w:rsid w:val="219A3195"/>
    <w:rsid w:val="219A5AB6"/>
    <w:rsid w:val="21A1443D"/>
    <w:rsid w:val="21A37E40"/>
    <w:rsid w:val="21A90C9F"/>
    <w:rsid w:val="21B01233"/>
    <w:rsid w:val="21B66C1A"/>
    <w:rsid w:val="21D10973"/>
    <w:rsid w:val="21D67BFD"/>
    <w:rsid w:val="21D8368C"/>
    <w:rsid w:val="22101F88"/>
    <w:rsid w:val="22180F68"/>
    <w:rsid w:val="222071A9"/>
    <w:rsid w:val="223C65D2"/>
    <w:rsid w:val="22492D41"/>
    <w:rsid w:val="22504F8B"/>
    <w:rsid w:val="22585F91"/>
    <w:rsid w:val="2262433D"/>
    <w:rsid w:val="22657FD1"/>
    <w:rsid w:val="22673032"/>
    <w:rsid w:val="226C0BA1"/>
    <w:rsid w:val="227F0CBB"/>
    <w:rsid w:val="227F2137"/>
    <w:rsid w:val="22872C5B"/>
    <w:rsid w:val="228F36AF"/>
    <w:rsid w:val="2297645D"/>
    <w:rsid w:val="22C73EC8"/>
    <w:rsid w:val="22CF3F42"/>
    <w:rsid w:val="22D54933"/>
    <w:rsid w:val="22FE286B"/>
    <w:rsid w:val="23065510"/>
    <w:rsid w:val="232E4B13"/>
    <w:rsid w:val="23311022"/>
    <w:rsid w:val="233C5631"/>
    <w:rsid w:val="2342238C"/>
    <w:rsid w:val="234248D0"/>
    <w:rsid w:val="235D1D40"/>
    <w:rsid w:val="2361608B"/>
    <w:rsid w:val="236E0B3F"/>
    <w:rsid w:val="237040DC"/>
    <w:rsid w:val="23732E53"/>
    <w:rsid w:val="237B5839"/>
    <w:rsid w:val="238B1908"/>
    <w:rsid w:val="23A846A5"/>
    <w:rsid w:val="23A873E8"/>
    <w:rsid w:val="23AB69D5"/>
    <w:rsid w:val="23B21998"/>
    <w:rsid w:val="23B334AD"/>
    <w:rsid w:val="23B45063"/>
    <w:rsid w:val="23BC102C"/>
    <w:rsid w:val="23CF2278"/>
    <w:rsid w:val="23D07A8D"/>
    <w:rsid w:val="23DA2D5E"/>
    <w:rsid w:val="23E330F4"/>
    <w:rsid w:val="23F318BD"/>
    <w:rsid w:val="23F96207"/>
    <w:rsid w:val="24155143"/>
    <w:rsid w:val="24172D29"/>
    <w:rsid w:val="241C6060"/>
    <w:rsid w:val="241F3568"/>
    <w:rsid w:val="24226965"/>
    <w:rsid w:val="24264A8E"/>
    <w:rsid w:val="2442504F"/>
    <w:rsid w:val="2443662B"/>
    <w:rsid w:val="24581321"/>
    <w:rsid w:val="24685F19"/>
    <w:rsid w:val="24811148"/>
    <w:rsid w:val="249B2734"/>
    <w:rsid w:val="24A13B3C"/>
    <w:rsid w:val="24A7497F"/>
    <w:rsid w:val="24AB0B60"/>
    <w:rsid w:val="24BE676E"/>
    <w:rsid w:val="24D3629F"/>
    <w:rsid w:val="24D36599"/>
    <w:rsid w:val="24EB4D0A"/>
    <w:rsid w:val="24F27706"/>
    <w:rsid w:val="24F90647"/>
    <w:rsid w:val="251D66EB"/>
    <w:rsid w:val="253630CD"/>
    <w:rsid w:val="254F59B0"/>
    <w:rsid w:val="25561A11"/>
    <w:rsid w:val="25561B07"/>
    <w:rsid w:val="255B2CEA"/>
    <w:rsid w:val="25643D8A"/>
    <w:rsid w:val="256752B7"/>
    <w:rsid w:val="25796911"/>
    <w:rsid w:val="25827E4B"/>
    <w:rsid w:val="258B6571"/>
    <w:rsid w:val="258E3098"/>
    <w:rsid w:val="259753F1"/>
    <w:rsid w:val="25982011"/>
    <w:rsid w:val="25985AD9"/>
    <w:rsid w:val="25BB7212"/>
    <w:rsid w:val="25BC30C0"/>
    <w:rsid w:val="25BE5EC2"/>
    <w:rsid w:val="25C14096"/>
    <w:rsid w:val="25C51747"/>
    <w:rsid w:val="25CA4C2A"/>
    <w:rsid w:val="25DF41FB"/>
    <w:rsid w:val="25E47FF7"/>
    <w:rsid w:val="25E72FDA"/>
    <w:rsid w:val="25F94278"/>
    <w:rsid w:val="260473D1"/>
    <w:rsid w:val="262A5394"/>
    <w:rsid w:val="2646563A"/>
    <w:rsid w:val="264E787F"/>
    <w:rsid w:val="265F1EB8"/>
    <w:rsid w:val="266943E1"/>
    <w:rsid w:val="267C7FAE"/>
    <w:rsid w:val="26837775"/>
    <w:rsid w:val="26845530"/>
    <w:rsid w:val="268A568B"/>
    <w:rsid w:val="268A7650"/>
    <w:rsid w:val="268F3D63"/>
    <w:rsid w:val="269A2FDF"/>
    <w:rsid w:val="26A1627C"/>
    <w:rsid w:val="26A8314C"/>
    <w:rsid w:val="26AC4F48"/>
    <w:rsid w:val="26B02157"/>
    <w:rsid w:val="26C76DA4"/>
    <w:rsid w:val="26D260D1"/>
    <w:rsid w:val="26E330F1"/>
    <w:rsid w:val="26E60FA5"/>
    <w:rsid w:val="26F35216"/>
    <w:rsid w:val="26FF781A"/>
    <w:rsid w:val="2702070E"/>
    <w:rsid w:val="270F4AEE"/>
    <w:rsid w:val="273A16B7"/>
    <w:rsid w:val="273B00B7"/>
    <w:rsid w:val="27462AEB"/>
    <w:rsid w:val="274C2D60"/>
    <w:rsid w:val="275A45A0"/>
    <w:rsid w:val="27641258"/>
    <w:rsid w:val="277260C0"/>
    <w:rsid w:val="27771D0A"/>
    <w:rsid w:val="27807AB1"/>
    <w:rsid w:val="278E37A9"/>
    <w:rsid w:val="279133AB"/>
    <w:rsid w:val="279D3B35"/>
    <w:rsid w:val="27AC2750"/>
    <w:rsid w:val="27B8371D"/>
    <w:rsid w:val="27B9256F"/>
    <w:rsid w:val="27F558BB"/>
    <w:rsid w:val="280D3AF7"/>
    <w:rsid w:val="280E28CC"/>
    <w:rsid w:val="28225CAA"/>
    <w:rsid w:val="28375020"/>
    <w:rsid w:val="284863DF"/>
    <w:rsid w:val="28754993"/>
    <w:rsid w:val="287E0360"/>
    <w:rsid w:val="288F18D7"/>
    <w:rsid w:val="289C11E1"/>
    <w:rsid w:val="28A238BB"/>
    <w:rsid w:val="28A525B6"/>
    <w:rsid w:val="28B841F3"/>
    <w:rsid w:val="28B954B3"/>
    <w:rsid w:val="28C33BD9"/>
    <w:rsid w:val="28C57448"/>
    <w:rsid w:val="28CE3FAA"/>
    <w:rsid w:val="28E720AF"/>
    <w:rsid w:val="28E7282E"/>
    <w:rsid w:val="28F21EE6"/>
    <w:rsid w:val="29027F89"/>
    <w:rsid w:val="29070BCA"/>
    <w:rsid w:val="29366CD1"/>
    <w:rsid w:val="294C1947"/>
    <w:rsid w:val="295377DC"/>
    <w:rsid w:val="295B307C"/>
    <w:rsid w:val="295F44C7"/>
    <w:rsid w:val="296640B2"/>
    <w:rsid w:val="299077AD"/>
    <w:rsid w:val="29B328DE"/>
    <w:rsid w:val="29BC67DF"/>
    <w:rsid w:val="29C81904"/>
    <w:rsid w:val="29C90A17"/>
    <w:rsid w:val="29CA380E"/>
    <w:rsid w:val="29DC71FF"/>
    <w:rsid w:val="29E4568A"/>
    <w:rsid w:val="29EA6127"/>
    <w:rsid w:val="29ED3253"/>
    <w:rsid w:val="2A0F37DC"/>
    <w:rsid w:val="2A1B79F9"/>
    <w:rsid w:val="2A37248F"/>
    <w:rsid w:val="2A377925"/>
    <w:rsid w:val="2A441364"/>
    <w:rsid w:val="2A4848FF"/>
    <w:rsid w:val="2A4A61C7"/>
    <w:rsid w:val="2A6852C2"/>
    <w:rsid w:val="2A6C5604"/>
    <w:rsid w:val="2A741D9B"/>
    <w:rsid w:val="2A7E1795"/>
    <w:rsid w:val="2A7E2C36"/>
    <w:rsid w:val="2A8F3FB0"/>
    <w:rsid w:val="2A987F4C"/>
    <w:rsid w:val="2A99049E"/>
    <w:rsid w:val="2ABC7A5C"/>
    <w:rsid w:val="2AC20888"/>
    <w:rsid w:val="2AC65EDB"/>
    <w:rsid w:val="2ADB1E42"/>
    <w:rsid w:val="2ADD0EDB"/>
    <w:rsid w:val="2AED793F"/>
    <w:rsid w:val="2B0B582A"/>
    <w:rsid w:val="2B0F1528"/>
    <w:rsid w:val="2B2D623B"/>
    <w:rsid w:val="2B400974"/>
    <w:rsid w:val="2B414754"/>
    <w:rsid w:val="2B6776B8"/>
    <w:rsid w:val="2B706EC3"/>
    <w:rsid w:val="2B801533"/>
    <w:rsid w:val="2B8811D0"/>
    <w:rsid w:val="2BA45806"/>
    <w:rsid w:val="2BA660A0"/>
    <w:rsid w:val="2BB8683B"/>
    <w:rsid w:val="2BBE710B"/>
    <w:rsid w:val="2BD201CD"/>
    <w:rsid w:val="2BDA3486"/>
    <w:rsid w:val="2BDB7EFB"/>
    <w:rsid w:val="2C182085"/>
    <w:rsid w:val="2C212F07"/>
    <w:rsid w:val="2C250691"/>
    <w:rsid w:val="2C283CF0"/>
    <w:rsid w:val="2C296647"/>
    <w:rsid w:val="2C40256F"/>
    <w:rsid w:val="2C410A2E"/>
    <w:rsid w:val="2C4A6C9D"/>
    <w:rsid w:val="2C4D28B5"/>
    <w:rsid w:val="2C7E536F"/>
    <w:rsid w:val="2C882B37"/>
    <w:rsid w:val="2C9B1EC9"/>
    <w:rsid w:val="2CA47A3C"/>
    <w:rsid w:val="2CAA4FC1"/>
    <w:rsid w:val="2CB40821"/>
    <w:rsid w:val="2CB53328"/>
    <w:rsid w:val="2CC46F96"/>
    <w:rsid w:val="2CCC0D0C"/>
    <w:rsid w:val="2CCE5811"/>
    <w:rsid w:val="2CDB59F6"/>
    <w:rsid w:val="2CEB782A"/>
    <w:rsid w:val="2CF802CA"/>
    <w:rsid w:val="2D03190A"/>
    <w:rsid w:val="2D1E742B"/>
    <w:rsid w:val="2D3759E8"/>
    <w:rsid w:val="2D4B330A"/>
    <w:rsid w:val="2D53090B"/>
    <w:rsid w:val="2D55397C"/>
    <w:rsid w:val="2D5D2F80"/>
    <w:rsid w:val="2D814D15"/>
    <w:rsid w:val="2D82344C"/>
    <w:rsid w:val="2D826CEE"/>
    <w:rsid w:val="2D91167E"/>
    <w:rsid w:val="2DAF7F7D"/>
    <w:rsid w:val="2DBB617E"/>
    <w:rsid w:val="2DD60B85"/>
    <w:rsid w:val="2DED1381"/>
    <w:rsid w:val="2DF379DC"/>
    <w:rsid w:val="2E0414F3"/>
    <w:rsid w:val="2E110792"/>
    <w:rsid w:val="2E127365"/>
    <w:rsid w:val="2E147411"/>
    <w:rsid w:val="2E162E38"/>
    <w:rsid w:val="2E1A50D6"/>
    <w:rsid w:val="2E3B5B1F"/>
    <w:rsid w:val="2E3D05B0"/>
    <w:rsid w:val="2E401E43"/>
    <w:rsid w:val="2E4E4BB5"/>
    <w:rsid w:val="2E4E7024"/>
    <w:rsid w:val="2E530EBF"/>
    <w:rsid w:val="2E542701"/>
    <w:rsid w:val="2E5526F6"/>
    <w:rsid w:val="2E562862"/>
    <w:rsid w:val="2E5E2CC4"/>
    <w:rsid w:val="2E636489"/>
    <w:rsid w:val="2E8D39A1"/>
    <w:rsid w:val="2E8F081B"/>
    <w:rsid w:val="2EA954C3"/>
    <w:rsid w:val="2EBC45E9"/>
    <w:rsid w:val="2ECA69CF"/>
    <w:rsid w:val="2ED37507"/>
    <w:rsid w:val="2ED8726A"/>
    <w:rsid w:val="2EDC6A6C"/>
    <w:rsid w:val="2F070D74"/>
    <w:rsid w:val="2F143D97"/>
    <w:rsid w:val="2F381535"/>
    <w:rsid w:val="2F541368"/>
    <w:rsid w:val="2F5C74B7"/>
    <w:rsid w:val="2F733D84"/>
    <w:rsid w:val="2F740987"/>
    <w:rsid w:val="2F796C02"/>
    <w:rsid w:val="2F7D2AC9"/>
    <w:rsid w:val="2F7F7321"/>
    <w:rsid w:val="2F815F2C"/>
    <w:rsid w:val="2F822F6B"/>
    <w:rsid w:val="2F881F7C"/>
    <w:rsid w:val="2F9A2A20"/>
    <w:rsid w:val="2FA56421"/>
    <w:rsid w:val="2FAC5541"/>
    <w:rsid w:val="2FB77A91"/>
    <w:rsid w:val="2FB83656"/>
    <w:rsid w:val="2FD33B42"/>
    <w:rsid w:val="2FD940AA"/>
    <w:rsid w:val="2FEA2DC4"/>
    <w:rsid w:val="2FFD5807"/>
    <w:rsid w:val="300134F5"/>
    <w:rsid w:val="30036B84"/>
    <w:rsid w:val="30200E77"/>
    <w:rsid w:val="302D0419"/>
    <w:rsid w:val="303F1336"/>
    <w:rsid w:val="30507813"/>
    <w:rsid w:val="305251B3"/>
    <w:rsid w:val="30586CDF"/>
    <w:rsid w:val="30607E47"/>
    <w:rsid w:val="306142CE"/>
    <w:rsid w:val="3075080D"/>
    <w:rsid w:val="3099094A"/>
    <w:rsid w:val="30A120E3"/>
    <w:rsid w:val="30A56F63"/>
    <w:rsid w:val="30AD365D"/>
    <w:rsid w:val="30B52797"/>
    <w:rsid w:val="30C733F0"/>
    <w:rsid w:val="30CD001A"/>
    <w:rsid w:val="30DA5F87"/>
    <w:rsid w:val="30DD652C"/>
    <w:rsid w:val="30E74500"/>
    <w:rsid w:val="30F8187C"/>
    <w:rsid w:val="31043F48"/>
    <w:rsid w:val="310553C0"/>
    <w:rsid w:val="31063262"/>
    <w:rsid w:val="310B79EE"/>
    <w:rsid w:val="311528E4"/>
    <w:rsid w:val="312424B4"/>
    <w:rsid w:val="31301FBD"/>
    <w:rsid w:val="313325D2"/>
    <w:rsid w:val="313D2310"/>
    <w:rsid w:val="31414265"/>
    <w:rsid w:val="314F053C"/>
    <w:rsid w:val="3164626F"/>
    <w:rsid w:val="31660E9F"/>
    <w:rsid w:val="3168467A"/>
    <w:rsid w:val="316D6EA0"/>
    <w:rsid w:val="31830568"/>
    <w:rsid w:val="31953D3E"/>
    <w:rsid w:val="31A342CB"/>
    <w:rsid w:val="31B56D2D"/>
    <w:rsid w:val="31D020E4"/>
    <w:rsid w:val="31E605BF"/>
    <w:rsid w:val="320F40D5"/>
    <w:rsid w:val="32134ABE"/>
    <w:rsid w:val="3235274B"/>
    <w:rsid w:val="324F3A1A"/>
    <w:rsid w:val="326B758C"/>
    <w:rsid w:val="328356D4"/>
    <w:rsid w:val="3296374C"/>
    <w:rsid w:val="32B8709A"/>
    <w:rsid w:val="32C149B6"/>
    <w:rsid w:val="32EE407A"/>
    <w:rsid w:val="32F504C4"/>
    <w:rsid w:val="33063BB2"/>
    <w:rsid w:val="330F2998"/>
    <w:rsid w:val="33145640"/>
    <w:rsid w:val="331833B5"/>
    <w:rsid w:val="331B66CC"/>
    <w:rsid w:val="33303E30"/>
    <w:rsid w:val="33507BA6"/>
    <w:rsid w:val="33510030"/>
    <w:rsid w:val="33674638"/>
    <w:rsid w:val="338351EB"/>
    <w:rsid w:val="33A4691D"/>
    <w:rsid w:val="33B63DA9"/>
    <w:rsid w:val="33D067D6"/>
    <w:rsid w:val="33DD0C64"/>
    <w:rsid w:val="33E97F2B"/>
    <w:rsid w:val="340D6C49"/>
    <w:rsid w:val="341B2EBE"/>
    <w:rsid w:val="341D472B"/>
    <w:rsid w:val="34231F9B"/>
    <w:rsid w:val="343043BE"/>
    <w:rsid w:val="343D732C"/>
    <w:rsid w:val="34634EE9"/>
    <w:rsid w:val="34714435"/>
    <w:rsid w:val="347742FC"/>
    <w:rsid w:val="34862589"/>
    <w:rsid w:val="34954761"/>
    <w:rsid w:val="34A95D9A"/>
    <w:rsid w:val="34AF52FD"/>
    <w:rsid w:val="34C643AE"/>
    <w:rsid w:val="34D43D06"/>
    <w:rsid w:val="34EB1FBD"/>
    <w:rsid w:val="34ED1D18"/>
    <w:rsid w:val="35016ED0"/>
    <w:rsid w:val="35094463"/>
    <w:rsid w:val="35134945"/>
    <w:rsid w:val="35135DCC"/>
    <w:rsid w:val="35261E0F"/>
    <w:rsid w:val="353460AD"/>
    <w:rsid w:val="35362387"/>
    <w:rsid w:val="35684242"/>
    <w:rsid w:val="35704B86"/>
    <w:rsid w:val="357C0CF1"/>
    <w:rsid w:val="35821D55"/>
    <w:rsid w:val="358E3901"/>
    <w:rsid w:val="35964BB1"/>
    <w:rsid w:val="359924CC"/>
    <w:rsid w:val="35AD2013"/>
    <w:rsid w:val="35B07644"/>
    <w:rsid w:val="35B13A7C"/>
    <w:rsid w:val="35C87865"/>
    <w:rsid w:val="35D70477"/>
    <w:rsid w:val="35DD5642"/>
    <w:rsid w:val="35E6749B"/>
    <w:rsid w:val="35F411EA"/>
    <w:rsid w:val="36184543"/>
    <w:rsid w:val="362A634C"/>
    <w:rsid w:val="362E2AEC"/>
    <w:rsid w:val="363B738A"/>
    <w:rsid w:val="36432A79"/>
    <w:rsid w:val="364D42FD"/>
    <w:rsid w:val="36563D9A"/>
    <w:rsid w:val="365A50D5"/>
    <w:rsid w:val="36751496"/>
    <w:rsid w:val="36A20A77"/>
    <w:rsid w:val="36B70403"/>
    <w:rsid w:val="36B8182E"/>
    <w:rsid w:val="36D003C0"/>
    <w:rsid w:val="36D82B86"/>
    <w:rsid w:val="36EA3710"/>
    <w:rsid w:val="36F866F4"/>
    <w:rsid w:val="370D102B"/>
    <w:rsid w:val="37202BC9"/>
    <w:rsid w:val="37394443"/>
    <w:rsid w:val="37434856"/>
    <w:rsid w:val="374535A4"/>
    <w:rsid w:val="37723C9B"/>
    <w:rsid w:val="37A445AF"/>
    <w:rsid w:val="37A77616"/>
    <w:rsid w:val="37A95602"/>
    <w:rsid w:val="37C524F0"/>
    <w:rsid w:val="37D800AA"/>
    <w:rsid w:val="37DD2F4D"/>
    <w:rsid w:val="37E84A25"/>
    <w:rsid w:val="37E94D94"/>
    <w:rsid w:val="37F100B0"/>
    <w:rsid w:val="37FE111B"/>
    <w:rsid w:val="380059A7"/>
    <w:rsid w:val="380D7B5A"/>
    <w:rsid w:val="3817210D"/>
    <w:rsid w:val="38181D52"/>
    <w:rsid w:val="381D20FA"/>
    <w:rsid w:val="381D59F6"/>
    <w:rsid w:val="382E65A7"/>
    <w:rsid w:val="382F6B0E"/>
    <w:rsid w:val="383374DF"/>
    <w:rsid w:val="383A27FD"/>
    <w:rsid w:val="384722C2"/>
    <w:rsid w:val="386645C9"/>
    <w:rsid w:val="386C2203"/>
    <w:rsid w:val="3887431A"/>
    <w:rsid w:val="388E7701"/>
    <w:rsid w:val="38931241"/>
    <w:rsid w:val="38936B2B"/>
    <w:rsid w:val="38967BAC"/>
    <w:rsid w:val="38A1672E"/>
    <w:rsid w:val="38CB619F"/>
    <w:rsid w:val="38D428CC"/>
    <w:rsid w:val="38FA04BB"/>
    <w:rsid w:val="39003466"/>
    <w:rsid w:val="39091751"/>
    <w:rsid w:val="390C4656"/>
    <w:rsid w:val="39144D2B"/>
    <w:rsid w:val="39276FAA"/>
    <w:rsid w:val="392D7805"/>
    <w:rsid w:val="392E27B2"/>
    <w:rsid w:val="39435649"/>
    <w:rsid w:val="39537742"/>
    <w:rsid w:val="398B7E3F"/>
    <w:rsid w:val="398C4FAE"/>
    <w:rsid w:val="399160E8"/>
    <w:rsid w:val="399A2C97"/>
    <w:rsid w:val="399F2BD8"/>
    <w:rsid w:val="39A7402D"/>
    <w:rsid w:val="39B059CF"/>
    <w:rsid w:val="39B23C68"/>
    <w:rsid w:val="39BC4AE0"/>
    <w:rsid w:val="39BE232F"/>
    <w:rsid w:val="39C14FCD"/>
    <w:rsid w:val="39C856FA"/>
    <w:rsid w:val="39CA5D4D"/>
    <w:rsid w:val="39D6536A"/>
    <w:rsid w:val="39DC59CC"/>
    <w:rsid w:val="39E771B7"/>
    <w:rsid w:val="39F243C6"/>
    <w:rsid w:val="39F82274"/>
    <w:rsid w:val="3A0D65E5"/>
    <w:rsid w:val="3A1D17F3"/>
    <w:rsid w:val="3A30171C"/>
    <w:rsid w:val="3A361C4D"/>
    <w:rsid w:val="3A3767DC"/>
    <w:rsid w:val="3A577B39"/>
    <w:rsid w:val="3A6A2525"/>
    <w:rsid w:val="3A6F5280"/>
    <w:rsid w:val="3A75788B"/>
    <w:rsid w:val="3A811007"/>
    <w:rsid w:val="3A893812"/>
    <w:rsid w:val="3A896D23"/>
    <w:rsid w:val="3AA91C3A"/>
    <w:rsid w:val="3AAC2AA5"/>
    <w:rsid w:val="3ABF0CD3"/>
    <w:rsid w:val="3AC10B9F"/>
    <w:rsid w:val="3ACD792F"/>
    <w:rsid w:val="3ADA5395"/>
    <w:rsid w:val="3ADB37E4"/>
    <w:rsid w:val="3AE0662E"/>
    <w:rsid w:val="3AF66159"/>
    <w:rsid w:val="3B005395"/>
    <w:rsid w:val="3B021C3A"/>
    <w:rsid w:val="3B274EF3"/>
    <w:rsid w:val="3B281CDE"/>
    <w:rsid w:val="3B286634"/>
    <w:rsid w:val="3B2E21C8"/>
    <w:rsid w:val="3B38783F"/>
    <w:rsid w:val="3B3F02F4"/>
    <w:rsid w:val="3B4934F3"/>
    <w:rsid w:val="3B4F36F7"/>
    <w:rsid w:val="3B5827F8"/>
    <w:rsid w:val="3B5850D5"/>
    <w:rsid w:val="3B6650F6"/>
    <w:rsid w:val="3B672A14"/>
    <w:rsid w:val="3B7D1237"/>
    <w:rsid w:val="3BA82004"/>
    <w:rsid w:val="3BE60726"/>
    <w:rsid w:val="3BF14D5B"/>
    <w:rsid w:val="3C0703AC"/>
    <w:rsid w:val="3C2551B5"/>
    <w:rsid w:val="3C2E680F"/>
    <w:rsid w:val="3C355168"/>
    <w:rsid w:val="3C3C26B7"/>
    <w:rsid w:val="3C3F6DCF"/>
    <w:rsid w:val="3C3F7780"/>
    <w:rsid w:val="3C525C41"/>
    <w:rsid w:val="3C75525F"/>
    <w:rsid w:val="3C875DBD"/>
    <w:rsid w:val="3C89673B"/>
    <w:rsid w:val="3C8B0348"/>
    <w:rsid w:val="3C8E0723"/>
    <w:rsid w:val="3CA0603D"/>
    <w:rsid w:val="3CA576BA"/>
    <w:rsid w:val="3CA76125"/>
    <w:rsid w:val="3CAB2A14"/>
    <w:rsid w:val="3CB21257"/>
    <w:rsid w:val="3CB341AF"/>
    <w:rsid w:val="3CCE3DC3"/>
    <w:rsid w:val="3CD8622C"/>
    <w:rsid w:val="3D076FC0"/>
    <w:rsid w:val="3D0D5FDC"/>
    <w:rsid w:val="3D320A98"/>
    <w:rsid w:val="3D351744"/>
    <w:rsid w:val="3D4950B2"/>
    <w:rsid w:val="3D5F52D9"/>
    <w:rsid w:val="3D616EBC"/>
    <w:rsid w:val="3D6773B3"/>
    <w:rsid w:val="3D693B7E"/>
    <w:rsid w:val="3D6E3C9F"/>
    <w:rsid w:val="3D7215DE"/>
    <w:rsid w:val="3D8E22C2"/>
    <w:rsid w:val="3D944AB4"/>
    <w:rsid w:val="3DAE0BDA"/>
    <w:rsid w:val="3DC629AE"/>
    <w:rsid w:val="3DF0340E"/>
    <w:rsid w:val="3E006F11"/>
    <w:rsid w:val="3E0B3093"/>
    <w:rsid w:val="3E133B24"/>
    <w:rsid w:val="3E187FDC"/>
    <w:rsid w:val="3E4D0C1A"/>
    <w:rsid w:val="3E4E0AEC"/>
    <w:rsid w:val="3E51279D"/>
    <w:rsid w:val="3E654BE2"/>
    <w:rsid w:val="3E7303A3"/>
    <w:rsid w:val="3E7A30A5"/>
    <w:rsid w:val="3E8E6743"/>
    <w:rsid w:val="3EAA635E"/>
    <w:rsid w:val="3EB4293F"/>
    <w:rsid w:val="3ECA252B"/>
    <w:rsid w:val="3ECB2EC8"/>
    <w:rsid w:val="3EE609EC"/>
    <w:rsid w:val="3F033927"/>
    <w:rsid w:val="3F0D32BD"/>
    <w:rsid w:val="3F0F00A5"/>
    <w:rsid w:val="3F1E440F"/>
    <w:rsid w:val="3F2521BD"/>
    <w:rsid w:val="3F264703"/>
    <w:rsid w:val="3F265404"/>
    <w:rsid w:val="3F283066"/>
    <w:rsid w:val="3F2B6485"/>
    <w:rsid w:val="3F2E4AB3"/>
    <w:rsid w:val="3F304ED3"/>
    <w:rsid w:val="3F3D6903"/>
    <w:rsid w:val="3F420ABF"/>
    <w:rsid w:val="3F4935D6"/>
    <w:rsid w:val="3F5441E1"/>
    <w:rsid w:val="3F576D7D"/>
    <w:rsid w:val="3F630AB1"/>
    <w:rsid w:val="3F652108"/>
    <w:rsid w:val="3F6D2580"/>
    <w:rsid w:val="3F7E47C7"/>
    <w:rsid w:val="3F827008"/>
    <w:rsid w:val="3F8A18C3"/>
    <w:rsid w:val="3F9F5566"/>
    <w:rsid w:val="3FA937FE"/>
    <w:rsid w:val="4000394E"/>
    <w:rsid w:val="400237DA"/>
    <w:rsid w:val="40070F9E"/>
    <w:rsid w:val="401C0B8B"/>
    <w:rsid w:val="403C54D8"/>
    <w:rsid w:val="405D4B08"/>
    <w:rsid w:val="405F3FC1"/>
    <w:rsid w:val="406B55B1"/>
    <w:rsid w:val="4089247F"/>
    <w:rsid w:val="4092348D"/>
    <w:rsid w:val="409335BD"/>
    <w:rsid w:val="40B14D95"/>
    <w:rsid w:val="40B84A19"/>
    <w:rsid w:val="40C46041"/>
    <w:rsid w:val="40C9086C"/>
    <w:rsid w:val="40D2288D"/>
    <w:rsid w:val="40D62A6C"/>
    <w:rsid w:val="40DB4B12"/>
    <w:rsid w:val="40DD2055"/>
    <w:rsid w:val="40E140CF"/>
    <w:rsid w:val="40E24184"/>
    <w:rsid w:val="40ED0C8E"/>
    <w:rsid w:val="40FF3077"/>
    <w:rsid w:val="41014386"/>
    <w:rsid w:val="41062067"/>
    <w:rsid w:val="41122EC7"/>
    <w:rsid w:val="411C2BA9"/>
    <w:rsid w:val="413920EF"/>
    <w:rsid w:val="413B12CA"/>
    <w:rsid w:val="413B5DC1"/>
    <w:rsid w:val="41454215"/>
    <w:rsid w:val="416404C1"/>
    <w:rsid w:val="416E4B53"/>
    <w:rsid w:val="417400E0"/>
    <w:rsid w:val="417428FA"/>
    <w:rsid w:val="417B6A63"/>
    <w:rsid w:val="418361B3"/>
    <w:rsid w:val="41B752F4"/>
    <w:rsid w:val="41BC27F3"/>
    <w:rsid w:val="41C0412B"/>
    <w:rsid w:val="41DE6AB1"/>
    <w:rsid w:val="41E1673B"/>
    <w:rsid w:val="41EC5DF4"/>
    <w:rsid w:val="41F37EEF"/>
    <w:rsid w:val="422157F1"/>
    <w:rsid w:val="422C1838"/>
    <w:rsid w:val="42344617"/>
    <w:rsid w:val="423B7DD6"/>
    <w:rsid w:val="4241544F"/>
    <w:rsid w:val="42467D8E"/>
    <w:rsid w:val="425A377A"/>
    <w:rsid w:val="425D6ACB"/>
    <w:rsid w:val="4264795B"/>
    <w:rsid w:val="427636DF"/>
    <w:rsid w:val="427701B9"/>
    <w:rsid w:val="428D3D6F"/>
    <w:rsid w:val="429808C8"/>
    <w:rsid w:val="42A36258"/>
    <w:rsid w:val="42B23AB9"/>
    <w:rsid w:val="42CA456F"/>
    <w:rsid w:val="42E37A60"/>
    <w:rsid w:val="42F600F5"/>
    <w:rsid w:val="43253F49"/>
    <w:rsid w:val="43254F18"/>
    <w:rsid w:val="43304261"/>
    <w:rsid w:val="433A1AE9"/>
    <w:rsid w:val="434673A7"/>
    <w:rsid w:val="43521C6A"/>
    <w:rsid w:val="435836FD"/>
    <w:rsid w:val="43637F24"/>
    <w:rsid w:val="437B5738"/>
    <w:rsid w:val="438735CF"/>
    <w:rsid w:val="43985FF2"/>
    <w:rsid w:val="43A527D5"/>
    <w:rsid w:val="43A60186"/>
    <w:rsid w:val="43A95AF2"/>
    <w:rsid w:val="43AD58CF"/>
    <w:rsid w:val="43C2301C"/>
    <w:rsid w:val="43DA0888"/>
    <w:rsid w:val="43DB694F"/>
    <w:rsid w:val="43DC007E"/>
    <w:rsid w:val="43E85C8E"/>
    <w:rsid w:val="43ED126D"/>
    <w:rsid w:val="440133C2"/>
    <w:rsid w:val="44071669"/>
    <w:rsid w:val="44222331"/>
    <w:rsid w:val="442867C2"/>
    <w:rsid w:val="442A4560"/>
    <w:rsid w:val="44356EB8"/>
    <w:rsid w:val="44366060"/>
    <w:rsid w:val="44425DA4"/>
    <w:rsid w:val="44591CA3"/>
    <w:rsid w:val="447E43B6"/>
    <w:rsid w:val="449574D2"/>
    <w:rsid w:val="44A57617"/>
    <w:rsid w:val="44AF12DA"/>
    <w:rsid w:val="44C215E9"/>
    <w:rsid w:val="44CB1DE3"/>
    <w:rsid w:val="44D03571"/>
    <w:rsid w:val="44D05B68"/>
    <w:rsid w:val="44D61D6E"/>
    <w:rsid w:val="44D62CB7"/>
    <w:rsid w:val="44DD59BF"/>
    <w:rsid w:val="44F07EE1"/>
    <w:rsid w:val="44F36E69"/>
    <w:rsid w:val="44F84A46"/>
    <w:rsid w:val="44FB2287"/>
    <w:rsid w:val="45201B08"/>
    <w:rsid w:val="452C74D3"/>
    <w:rsid w:val="454C376D"/>
    <w:rsid w:val="455973E9"/>
    <w:rsid w:val="455A09AC"/>
    <w:rsid w:val="45AB5FCC"/>
    <w:rsid w:val="45B81E64"/>
    <w:rsid w:val="45BD6672"/>
    <w:rsid w:val="45D22CE8"/>
    <w:rsid w:val="45D44EA7"/>
    <w:rsid w:val="45D825F5"/>
    <w:rsid w:val="45DE2151"/>
    <w:rsid w:val="45EB54E7"/>
    <w:rsid w:val="45FC6605"/>
    <w:rsid w:val="461F7A8D"/>
    <w:rsid w:val="462722F2"/>
    <w:rsid w:val="463757B0"/>
    <w:rsid w:val="4664478A"/>
    <w:rsid w:val="46730111"/>
    <w:rsid w:val="467667DD"/>
    <w:rsid w:val="46792F85"/>
    <w:rsid w:val="467946A6"/>
    <w:rsid w:val="467D633F"/>
    <w:rsid w:val="46A2459D"/>
    <w:rsid w:val="46B6517D"/>
    <w:rsid w:val="46D777A6"/>
    <w:rsid w:val="46D83ED3"/>
    <w:rsid w:val="46E4396C"/>
    <w:rsid w:val="46E5777C"/>
    <w:rsid w:val="46E81FC8"/>
    <w:rsid w:val="46F73436"/>
    <w:rsid w:val="470608F6"/>
    <w:rsid w:val="47112B42"/>
    <w:rsid w:val="471772FE"/>
    <w:rsid w:val="472435E2"/>
    <w:rsid w:val="472903C8"/>
    <w:rsid w:val="473C2726"/>
    <w:rsid w:val="47416F8C"/>
    <w:rsid w:val="47433BC7"/>
    <w:rsid w:val="474529D1"/>
    <w:rsid w:val="47456AFB"/>
    <w:rsid w:val="474E651E"/>
    <w:rsid w:val="4758399F"/>
    <w:rsid w:val="47A27401"/>
    <w:rsid w:val="47A64C98"/>
    <w:rsid w:val="47CC1692"/>
    <w:rsid w:val="47D35946"/>
    <w:rsid w:val="47D631AD"/>
    <w:rsid w:val="47FF42ED"/>
    <w:rsid w:val="48012497"/>
    <w:rsid w:val="480F13E6"/>
    <w:rsid w:val="481944D7"/>
    <w:rsid w:val="483A19BA"/>
    <w:rsid w:val="483A3B0D"/>
    <w:rsid w:val="48450BDA"/>
    <w:rsid w:val="484F0655"/>
    <w:rsid w:val="48521B4B"/>
    <w:rsid w:val="4853079B"/>
    <w:rsid w:val="485427F6"/>
    <w:rsid w:val="489369AF"/>
    <w:rsid w:val="48960C26"/>
    <w:rsid w:val="489C220D"/>
    <w:rsid w:val="48A22477"/>
    <w:rsid w:val="48A85F32"/>
    <w:rsid w:val="48B06439"/>
    <w:rsid w:val="48C95A07"/>
    <w:rsid w:val="48DB07F9"/>
    <w:rsid w:val="48DB3FD5"/>
    <w:rsid w:val="48FD1552"/>
    <w:rsid w:val="49070011"/>
    <w:rsid w:val="491E2E2F"/>
    <w:rsid w:val="49304866"/>
    <w:rsid w:val="494236DE"/>
    <w:rsid w:val="4951064E"/>
    <w:rsid w:val="496A03AF"/>
    <w:rsid w:val="49762781"/>
    <w:rsid w:val="49846446"/>
    <w:rsid w:val="498756A8"/>
    <w:rsid w:val="4997573B"/>
    <w:rsid w:val="49A40C61"/>
    <w:rsid w:val="49AF4FF2"/>
    <w:rsid w:val="49CC7897"/>
    <w:rsid w:val="49CF1647"/>
    <w:rsid w:val="49D4799E"/>
    <w:rsid w:val="49DD691A"/>
    <w:rsid w:val="49F54FD5"/>
    <w:rsid w:val="49F9058A"/>
    <w:rsid w:val="49FF2415"/>
    <w:rsid w:val="4A0819BF"/>
    <w:rsid w:val="4A082B2B"/>
    <w:rsid w:val="4A0B522E"/>
    <w:rsid w:val="4A1B2339"/>
    <w:rsid w:val="4A1E145D"/>
    <w:rsid w:val="4A285388"/>
    <w:rsid w:val="4A34188B"/>
    <w:rsid w:val="4A3B5891"/>
    <w:rsid w:val="4A517233"/>
    <w:rsid w:val="4A67622D"/>
    <w:rsid w:val="4A7A1EAF"/>
    <w:rsid w:val="4A9106DC"/>
    <w:rsid w:val="4AA20F85"/>
    <w:rsid w:val="4AA877DB"/>
    <w:rsid w:val="4AB616A4"/>
    <w:rsid w:val="4ABA112F"/>
    <w:rsid w:val="4AC2728A"/>
    <w:rsid w:val="4AF9595B"/>
    <w:rsid w:val="4B065FF7"/>
    <w:rsid w:val="4B097A62"/>
    <w:rsid w:val="4B13676A"/>
    <w:rsid w:val="4B3219C1"/>
    <w:rsid w:val="4B3A72A0"/>
    <w:rsid w:val="4B4D1D82"/>
    <w:rsid w:val="4B5D08B6"/>
    <w:rsid w:val="4B7218C9"/>
    <w:rsid w:val="4B7C5800"/>
    <w:rsid w:val="4B9078DE"/>
    <w:rsid w:val="4B9655CD"/>
    <w:rsid w:val="4BA47466"/>
    <w:rsid w:val="4BA74ECC"/>
    <w:rsid w:val="4BC44B0F"/>
    <w:rsid w:val="4BC564AE"/>
    <w:rsid w:val="4BCE6F47"/>
    <w:rsid w:val="4BDA7124"/>
    <w:rsid w:val="4BF54408"/>
    <w:rsid w:val="4BFF3A3A"/>
    <w:rsid w:val="4C026BDA"/>
    <w:rsid w:val="4C045022"/>
    <w:rsid w:val="4C066BB8"/>
    <w:rsid w:val="4C072D13"/>
    <w:rsid w:val="4C1A0872"/>
    <w:rsid w:val="4C2F6E9E"/>
    <w:rsid w:val="4C2F774F"/>
    <w:rsid w:val="4C460EB0"/>
    <w:rsid w:val="4C527888"/>
    <w:rsid w:val="4C5B54B7"/>
    <w:rsid w:val="4C647E96"/>
    <w:rsid w:val="4C6D65FF"/>
    <w:rsid w:val="4C6F5A64"/>
    <w:rsid w:val="4C772F1A"/>
    <w:rsid w:val="4C793024"/>
    <w:rsid w:val="4C7F5CF4"/>
    <w:rsid w:val="4C8A6488"/>
    <w:rsid w:val="4C9B0C60"/>
    <w:rsid w:val="4CDD2F54"/>
    <w:rsid w:val="4CE7047E"/>
    <w:rsid w:val="4CF61BD9"/>
    <w:rsid w:val="4CFE2F8A"/>
    <w:rsid w:val="4D265EC5"/>
    <w:rsid w:val="4D307EFB"/>
    <w:rsid w:val="4D31109B"/>
    <w:rsid w:val="4D3708C8"/>
    <w:rsid w:val="4D375A07"/>
    <w:rsid w:val="4D484F1C"/>
    <w:rsid w:val="4D53787E"/>
    <w:rsid w:val="4D543AD9"/>
    <w:rsid w:val="4D610351"/>
    <w:rsid w:val="4D644974"/>
    <w:rsid w:val="4D6F75EA"/>
    <w:rsid w:val="4D897FA6"/>
    <w:rsid w:val="4D9A3C3E"/>
    <w:rsid w:val="4D9E3BBF"/>
    <w:rsid w:val="4DAA2B3A"/>
    <w:rsid w:val="4DB850CB"/>
    <w:rsid w:val="4DBA6A55"/>
    <w:rsid w:val="4DC104B9"/>
    <w:rsid w:val="4DC2055F"/>
    <w:rsid w:val="4DC92A56"/>
    <w:rsid w:val="4DD03C33"/>
    <w:rsid w:val="4DE37A4C"/>
    <w:rsid w:val="4DF56B93"/>
    <w:rsid w:val="4E0336C0"/>
    <w:rsid w:val="4E06309C"/>
    <w:rsid w:val="4E0D442F"/>
    <w:rsid w:val="4E101ECF"/>
    <w:rsid w:val="4E1A5241"/>
    <w:rsid w:val="4E2039E8"/>
    <w:rsid w:val="4E2C7F83"/>
    <w:rsid w:val="4E316B59"/>
    <w:rsid w:val="4E5132C1"/>
    <w:rsid w:val="4E531E64"/>
    <w:rsid w:val="4E6E3962"/>
    <w:rsid w:val="4E6E6616"/>
    <w:rsid w:val="4E7133C2"/>
    <w:rsid w:val="4E8217F5"/>
    <w:rsid w:val="4E91717F"/>
    <w:rsid w:val="4E9A1E60"/>
    <w:rsid w:val="4EBF554E"/>
    <w:rsid w:val="4EC40A42"/>
    <w:rsid w:val="4EC9596C"/>
    <w:rsid w:val="4EE866BA"/>
    <w:rsid w:val="4EEA1313"/>
    <w:rsid w:val="4EEA678E"/>
    <w:rsid w:val="4EF730D9"/>
    <w:rsid w:val="4F0E3F5F"/>
    <w:rsid w:val="4F14382B"/>
    <w:rsid w:val="4F2C75F9"/>
    <w:rsid w:val="4F337864"/>
    <w:rsid w:val="4F6330A2"/>
    <w:rsid w:val="4F6C2EDB"/>
    <w:rsid w:val="4F7E52B8"/>
    <w:rsid w:val="4F8B3D45"/>
    <w:rsid w:val="4F941C10"/>
    <w:rsid w:val="4F9B56D5"/>
    <w:rsid w:val="4FB0457E"/>
    <w:rsid w:val="4FBB38E0"/>
    <w:rsid w:val="4FEC0AD8"/>
    <w:rsid w:val="4FF97C5D"/>
    <w:rsid w:val="5009741B"/>
    <w:rsid w:val="502D74A4"/>
    <w:rsid w:val="50317231"/>
    <w:rsid w:val="503F2514"/>
    <w:rsid w:val="503F793B"/>
    <w:rsid w:val="504B69C2"/>
    <w:rsid w:val="50586E69"/>
    <w:rsid w:val="50605F6E"/>
    <w:rsid w:val="506169CF"/>
    <w:rsid w:val="50616E24"/>
    <w:rsid w:val="50650E1C"/>
    <w:rsid w:val="506871CC"/>
    <w:rsid w:val="507E59F5"/>
    <w:rsid w:val="508019E4"/>
    <w:rsid w:val="508865A2"/>
    <w:rsid w:val="50910F44"/>
    <w:rsid w:val="50BC3314"/>
    <w:rsid w:val="50CC21B3"/>
    <w:rsid w:val="50CF5570"/>
    <w:rsid w:val="50E93BF9"/>
    <w:rsid w:val="50EE3EDC"/>
    <w:rsid w:val="50F25BC5"/>
    <w:rsid w:val="50F45F5A"/>
    <w:rsid w:val="50FF6155"/>
    <w:rsid w:val="51000CD2"/>
    <w:rsid w:val="51126748"/>
    <w:rsid w:val="511A4CF6"/>
    <w:rsid w:val="511C159D"/>
    <w:rsid w:val="511F7485"/>
    <w:rsid w:val="51243FE4"/>
    <w:rsid w:val="51263305"/>
    <w:rsid w:val="513E5128"/>
    <w:rsid w:val="5144144A"/>
    <w:rsid w:val="51481E1D"/>
    <w:rsid w:val="515526FC"/>
    <w:rsid w:val="515F053B"/>
    <w:rsid w:val="516522F4"/>
    <w:rsid w:val="51695C46"/>
    <w:rsid w:val="517253B3"/>
    <w:rsid w:val="519A6B7F"/>
    <w:rsid w:val="519D2482"/>
    <w:rsid w:val="519E2AA0"/>
    <w:rsid w:val="51A75A8C"/>
    <w:rsid w:val="51B223F2"/>
    <w:rsid w:val="51B85E2B"/>
    <w:rsid w:val="51D3011F"/>
    <w:rsid w:val="51DF41F5"/>
    <w:rsid w:val="51EA3084"/>
    <w:rsid w:val="51F616BB"/>
    <w:rsid w:val="520B0C1C"/>
    <w:rsid w:val="520F0C30"/>
    <w:rsid w:val="52170E22"/>
    <w:rsid w:val="522B5DD9"/>
    <w:rsid w:val="523E34C7"/>
    <w:rsid w:val="5244668D"/>
    <w:rsid w:val="524E1A3B"/>
    <w:rsid w:val="526506DF"/>
    <w:rsid w:val="52752708"/>
    <w:rsid w:val="527935D9"/>
    <w:rsid w:val="527F6BAD"/>
    <w:rsid w:val="52807CE0"/>
    <w:rsid w:val="52823DA4"/>
    <w:rsid w:val="52876514"/>
    <w:rsid w:val="52901739"/>
    <w:rsid w:val="5297693A"/>
    <w:rsid w:val="52BD34A2"/>
    <w:rsid w:val="52BE78CF"/>
    <w:rsid w:val="52CC0EB2"/>
    <w:rsid w:val="52D143CC"/>
    <w:rsid w:val="52DD36F2"/>
    <w:rsid w:val="52E92070"/>
    <w:rsid w:val="52F55A08"/>
    <w:rsid w:val="53077536"/>
    <w:rsid w:val="531B5194"/>
    <w:rsid w:val="531B5F79"/>
    <w:rsid w:val="532C3D9B"/>
    <w:rsid w:val="533C6F1B"/>
    <w:rsid w:val="533D588C"/>
    <w:rsid w:val="533E7600"/>
    <w:rsid w:val="535247EE"/>
    <w:rsid w:val="536D049B"/>
    <w:rsid w:val="536F55B6"/>
    <w:rsid w:val="5373388F"/>
    <w:rsid w:val="53780A4B"/>
    <w:rsid w:val="537C1D13"/>
    <w:rsid w:val="537C6976"/>
    <w:rsid w:val="538229A5"/>
    <w:rsid w:val="5384427D"/>
    <w:rsid w:val="53A96D33"/>
    <w:rsid w:val="53CE6589"/>
    <w:rsid w:val="53E7333A"/>
    <w:rsid w:val="53E92165"/>
    <w:rsid w:val="54080787"/>
    <w:rsid w:val="54191298"/>
    <w:rsid w:val="542122B5"/>
    <w:rsid w:val="542E6C4B"/>
    <w:rsid w:val="54546865"/>
    <w:rsid w:val="545757D4"/>
    <w:rsid w:val="547A408F"/>
    <w:rsid w:val="547B18A8"/>
    <w:rsid w:val="547D4701"/>
    <w:rsid w:val="549634E3"/>
    <w:rsid w:val="549C2946"/>
    <w:rsid w:val="54AF6177"/>
    <w:rsid w:val="54E70729"/>
    <w:rsid w:val="54E927BB"/>
    <w:rsid w:val="54F7523A"/>
    <w:rsid w:val="550D4D60"/>
    <w:rsid w:val="550F4D6F"/>
    <w:rsid w:val="551B51F0"/>
    <w:rsid w:val="552640D4"/>
    <w:rsid w:val="55300976"/>
    <w:rsid w:val="55310201"/>
    <w:rsid w:val="5534671A"/>
    <w:rsid w:val="55386642"/>
    <w:rsid w:val="55393715"/>
    <w:rsid w:val="555B778E"/>
    <w:rsid w:val="55657DDB"/>
    <w:rsid w:val="55680D96"/>
    <w:rsid w:val="557120B4"/>
    <w:rsid w:val="557712D3"/>
    <w:rsid w:val="558A0F87"/>
    <w:rsid w:val="559D67BA"/>
    <w:rsid w:val="55A57549"/>
    <w:rsid w:val="55B636EB"/>
    <w:rsid w:val="55C941D1"/>
    <w:rsid w:val="55D8059B"/>
    <w:rsid w:val="55FD34FC"/>
    <w:rsid w:val="5600487C"/>
    <w:rsid w:val="560073DA"/>
    <w:rsid w:val="561054A1"/>
    <w:rsid w:val="56167150"/>
    <w:rsid w:val="561B30B9"/>
    <w:rsid w:val="56327925"/>
    <w:rsid w:val="564F3C72"/>
    <w:rsid w:val="567017E0"/>
    <w:rsid w:val="5687402F"/>
    <w:rsid w:val="568C16BF"/>
    <w:rsid w:val="56902E54"/>
    <w:rsid w:val="56B35BB0"/>
    <w:rsid w:val="56B535F1"/>
    <w:rsid w:val="56B70367"/>
    <w:rsid w:val="56BB1A76"/>
    <w:rsid w:val="56DC2A96"/>
    <w:rsid w:val="56FE76FF"/>
    <w:rsid w:val="571748AA"/>
    <w:rsid w:val="57226B10"/>
    <w:rsid w:val="572777A2"/>
    <w:rsid w:val="573D2EFD"/>
    <w:rsid w:val="5740752C"/>
    <w:rsid w:val="574A763F"/>
    <w:rsid w:val="5752006E"/>
    <w:rsid w:val="575248BF"/>
    <w:rsid w:val="575A79DE"/>
    <w:rsid w:val="575C13AD"/>
    <w:rsid w:val="575E69A5"/>
    <w:rsid w:val="57667930"/>
    <w:rsid w:val="577F09C4"/>
    <w:rsid w:val="578F068D"/>
    <w:rsid w:val="57A34B66"/>
    <w:rsid w:val="57AA62FF"/>
    <w:rsid w:val="57B134A1"/>
    <w:rsid w:val="57BB4475"/>
    <w:rsid w:val="57C839EB"/>
    <w:rsid w:val="57D508F3"/>
    <w:rsid w:val="57D5152C"/>
    <w:rsid w:val="57E86537"/>
    <w:rsid w:val="57F81845"/>
    <w:rsid w:val="57FB2BB6"/>
    <w:rsid w:val="580D1A3B"/>
    <w:rsid w:val="581254FA"/>
    <w:rsid w:val="58131D55"/>
    <w:rsid w:val="5814273C"/>
    <w:rsid w:val="581F28CF"/>
    <w:rsid w:val="58243540"/>
    <w:rsid w:val="582E307A"/>
    <w:rsid w:val="5831550D"/>
    <w:rsid w:val="58656AE1"/>
    <w:rsid w:val="58660CF3"/>
    <w:rsid w:val="587C4426"/>
    <w:rsid w:val="58862A3E"/>
    <w:rsid w:val="588E637B"/>
    <w:rsid w:val="58A9023E"/>
    <w:rsid w:val="58C8516B"/>
    <w:rsid w:val="58CA4040"/>
    <w:rsid w:val="58CC25C3"/>
    <w:rsid w:val="58E65714"/>
    <w:rsid w:val="590340A8"/>
    <w:rsid w:val="59084D7B"/>
    <w:rsid w:val="590B6851"/>
    <w:rsid w:val="590F14D8"/>
    <w:rsid w:val="591B084A"/>
    <w:rsid w:val="59232155"/>
    <w:rsid w:val="59260368"/>
    <w:rsid w:val="592F5474"/>
    <w:rsid w:val="59316251"/>
    <w:rsid w:val="593B2891"/>
    <w:rsid w:val="594A1E40"/>
    <w:rsid w:val="594E6CD4"/>
    <w:rsid w:val="596F0877"/>
    <w:rsid w:val="59821F79"/>
    <w:rsid w:val="59CC74B1"/>
    <w:rsid w:val="59CF5A18"/>
    <w:rsid w:val="59D37306"/>
    <w:rsid w:val="59DB65DE"/>
    <w:rsid w:val="59E210E9"/>
    <w:rsid w:val="5A05577B"/>
    <w:rsid w:val="5A085517"/>
    <w:rsid w:val="5A0A3D75"/>
    <w:rsid w:val="5A1B33FA"/>
    <w:rsid w:val="5A1F6131"/>
    <w:rsid w:val="5A1F72D6"/>
    <w:rsid w:val="5A213D65"/>
    <w:rsid w:val="5A254852"/>
    <w:rsid w:val="5A312BAC"/>
    <w:rsid w:val="5A3537C1"/>
    <w:rsid w:val="5A414E66"/>
    <w:rsid w:val="5A415216"/>
    <w:rsid w:val="5A465D1B"/>
    <w:rsid w:val="5A4C6827"/>
    <w:rsid w:val="5A550F9F"/>
    <w:rsid w:val="5A6C7BA3"/>
    <w:rsid w:val="5A817410"/>
    <w:rsid w:val="5A896208"/>
    <w:rsid w:val="5A9A43F2"/>
    <w:rsid w:val="5AA15191"/>
    <w:rsid w:val="5AA61AC3"/>
    <w:rsid w:val="5AAD4B39"/>
    <w:rsid w:val="5AB91FFF"/>
    <w:rsid w:val="5ABB756A"/>
    <w:rsid w:val="5AC418F9"/>
    <w:rsid w:val="5ACC0715"/>
    <w:rsid w:val="5AD27A83"/>
    <w:rsid w:val="5AEA7040"/>
    <w:rsid w:val="5B2E19B3"/>
    <w:rsid w:val="5B4F0865"/>
    <w:rsid w:val="5B885FC3"/>
    <w:rsid w:val="5B890C67"/>
    <w:rsid w:val="5BA326CE"/>
    <w:rsid w:val="5BF4599A"/>
    <w:rsid w:val="5C0762B3"/>
    <w:rsid w:val="5C0A34A8"/>
    <w:rsid w:val="5C0D4E20"/>
    <w:rsid w:val="5C133104"/>
    <w:rsid w:val="5C1D46EA"/>
    <w:rsid w:val="5C21132D"/>
    <w:rsid w:val="5C213C45"/>
    <w:rsid w:val="5C254ED5"/>
    <w:rsid w:val="5C2C2768"/>
    <w:rsid w:val="5C5C329D"/>
    <w:rsid w:val="5C5E4398"/>
    <w:rsid w:val="5C601729"/>
    <w:rsid w:val="5C695A49"/>
    <w:rsid w:val="5C705355"/>
    <w:rsid w:val="5C745BC8"/>
    <w:rsid w:val="5C7E24A4"/>
    <w:rsid w:val="5C864976"/>
    <w:rsid w:val="5C88178F"/>
    <w:rsid w:val="5CAE19D2"/>
    <w:rsid w:val="5CC913B2"/>
    <w:rsid w:val="5CCB6F4A"/>
    <w:rsid w:val="5CDF7F89"/>
    <w:rsid w:val="5CF413BC"/>
    <w:rsid w:val="5D051E38"/>
    <w:rsid w:val="5D2052ED"/>
    <w:rsid w:val="5D7A50EA"/>
    <w:rsid w:val="5D853958"/>
    <w:rsid w:val="5D8945E4"/>
    <w:rsid w:val="5D8A7BEA"/>
    <w:rsid w:val="5D8F481F"/>
    <w:rsid w:val="5DA16FD3"/>
    <w:rsid w:val="5DB67E89"/>
    <w:rsid w:val="5DC2619A"/>
    <w:rsid w:val="5DC94E77"/>
    <w:rsid w:val="5DCC30FA"/>
    <w:rsid w:val="5DCE2C34"/>
    <w:rsid w:val="5DD65077"/>
    <w:rsid w:val="5DD94F09"/>
    <w:rsid w:val="5DE11A44"/>
    <w:rsid w:val="5DE3638B"/>
    <w:rsid w:val="5DEE19AB"/>
    <w:rsid w:val="5E016FC7"/>
    <w:rsid w:val="5E216AEB"/>
    <w:rsid w:val="5E216D41"/>
    <w:rsid w:val="5E2A724F"/>
    <w:rsid w:val="5E3D3C8C"/>
    <w:rsid w:val="5E4B5E07"/>
    <w:rsid w:val="5E514993"/>
    <w:rsid w:val="5E5C5528"/>
    <w:rsid w:val="5E6417A0"/>
    <w:rsid w:val="5E6707EC"/>
    <w:rsid w:val="5E861802"/>
    <w:rsid w:val="5E8C1507"/>
    <w:rsid w:val="5E975038"/>
    <w:rsid w:val="5E982679"/>
    <w:rsid w:val="5EB228D3"/>
    <w:rsid w:val="5EB871F7"/>
    <w:rsid w:val="5EC663BB"/>
    <w:rsid w:val="5EDF4C3C"/>
    <w:rsid w:val="5EE67820"/>
    <w:rsid w:val="5EE771AA"/>
    <w:rsid w:val="5EED65B6"/>
    <w:rsid w:val="5EFC0D77"/>
    <w:rsid w:val="5F007A87"/>
    <w:rsid w:val="5F0A4597"/>
    <w:rsid w:val="5F0D5BD4"/>
    <w:rsid w:val="5F131E93"/>
    <w:rsid w:val="5F477D0C"/>
    <w:rsid w:val="5F5E205D"/>
    <w:rsid w:val="5F6135BB"/>
    <w:rsid w:val="5F6217F2"/>
    <w:rsid w:val="5F734C06"/>
    <w:rsid w:val="5F7A1635"/>
    <w:rsid w:val="5F826B3D"/>
    <w:rsid w:val="5F96499A"/>
    <w:rsid w:val="5FC03E9F"/>
    <w:rsid w:val="5FC4273F"/>
    <w:rsid w:val="5FE41D8E"/>
    <w:rsid w:val="5FEA6695"/>
    <w:rsid w:val="5FEC77B0"/>
    <w:rsid w:val="60032769"/>
    <w:rsid w:val="602A5B56"/>
    <w:rsid w:val="602F6CF3"/>
    <w:rsid w:val="604E5AAD"/>
    <w:rsid w:val="60550BC5"/>
    <w:rsid w:val="607102B5"/>
    <w:rsid w:val="60760723"/>
    <w:rsid w:val="60796108"/>
    <w:rsid w:val="607C4917"/>
    <w:rsid w:val="60BC2300"/>
    <w:rsid w:val="60CF2458"/>
    <w:rsid w:val="60DA0DB6"/>
    <w:rsid w:val="60DD6F31"/>
    <w:rsid w:val="60EC69E3"/>
    <w:rsid w:val="60ED4BD8"/>
    <w:rsid w:val="60F4536B"/>
    <w:rsid w:val="61091555"/>
    <w:rsid w:val="610C1707"/>
    <w:rsid w:val="61104F66"/>
    <w:rsid w:val="612574AD"/>
    <w:rsid w:val="61260E40"/>
    <w:rsid w:val="612B7FBC"/>
    <w:rsid w:val="61446442"/>
    <w:rsid w:val="61585AEC"/>
    <w:rsid w:val="615F0CDC"/>
    <w:rsid w:val="616D3276"/>
    <w:rsid w:val="6174420D"/>
    <w:rsid w:val="61760A2D"/>
    <w:rsid w:val="618650E8"/>
    <w:rsid w:val="618B4004"/>
    <w:rsid w:val="619A438A"/>
    <w:rsid w:val="61BA40C2"/>
    <w:rsid w:val="61CB0DBA"/>
    <w:rsid w:val="61D33F2C"/>
    <w:rsid w:val="61D92066"/>
    <w:rsid w:val="62062BAF"/>
    <w:rsid w:val="62282CAB"/>
    <w:rsid w:val="623436DE"/>
    <w:rsid w:val="623E17DF"/>
    <w:rsid w:val="623E5424"/>
    <w:rsid w:val="624B2310"/>
    <w:rsid w:val="624F6BDD"/>
    <w:rsid w:val="625F2389"/>
    <w:rsid w:val="62675F3A"/>
    <w:rsid w:val="629B6DB5"/>
    <w:rsid w:val="62A85EC3"/>
    <w:rsid w:val="62B879D6"/>
    <w:rsid w:val="62BB6A86"/>
    <w:rsid w:val="62BF0A61"/>
    <w:rsid w:val="62BF315E"/>
    <w:rsid w:val="62C64CF0"/>
    <w:rsid w:val="62E36129"/>
    <w:rsid w:val="62E75CC1"/>
    <w:rsid w:val="62EE00FF"/>
    <w:rsid w:val="62F43EFA"/>
    <w:rsid w:val="6310203C"/>
    <w:rsid w:val="6310253A"/>
    <w:rsid w:val="633E6854"/>
    <w:rsid w:val="63614AD1"/>
    <w:rsid w:val="637C4A79"/>
    <w:rsid w:val="637D190B"/>
    <w:rsid w:val="638B1EE6"/>
    <w:rsid w:val="63906F57"/>
    <w:rsid w:val="639C6164"/>
    <w:rsid w:val="63A802F5"/>
    <w:rsid w:val="63A914C7"/>
    <w:rsid w:val="63D8365D"/>
    <w:rsid w:val="63E520B1"/>
    <w:rsid w:val="63F93897"/>
    <w:rsid w:val="63FD1192"/>
    <w:rsid w:val="64064261"/>
    <w:rsid w:val="641C085D"/>
    <w:rsid w:val="641F4F93"/>
    <w:rsid w:val="642018E5"/>
    <w:rsid w:val="6434623C"/>
    <w:rsid w:val="643B555D"/>
    <w:rsid w:val="6444514A"/>
    <w:rsid w:val="64451311"/>
    <w:rsid w:val="64566CC9"/>
    <w:rsid w:val="645F6E96"/>
    <w:rsid w:val="647162CB"/>
    <w:rsid w:val="64867883"/>
    <w:rsid w:val="6495740B"/>
    <w:rsid w:val="649D7142"/>
    <w:rsid w:val="64D40FA3"/>
    <w:rsid w:val="64D5059D"/>
    <w:rsid w:val="64D76D33"/>
    <w:rsid w:val="64DC57D8"/>
    <w:rsid w:val="64F34447"/>
    <w:rsid w:val="64FA0171"/>
    <w:rsid w:val="650047D4"/>
    <w:rsid w:val="65064550"/>
    <w:rsid w:val="652216B6"/>
    <w:rsid w:val="652A4F7E"/>
    <w:rsid w:val="652E57A1"/>
    <w:rsid w:val="652F5A5D"/>
    <w:rsid w:val="6544513D"/>
    <w:rsid w:val="6551399D"/>
    <w:rsid w:val="65607857"/>
    <w:rsid w:val="656D723C"/>
    <w:rsid w:val="65766EEC"/>
    <w:rsid w:val="65790560"/>
    <w:rsid w:val="65791BAD"/>
    <w:rsid w:val="657A790D"/>
    <w:rsid w:val="6590660B"/>
    <w:rsid w:val="6598050D"/>
    <w:rsid w:val="65B069DB"/>
    <w:rsid w:val="65B64FF4"/>
    <w:rsid w:val="65F7757F"/>
    <w:rsid w:val="66217287"/>
    <w:rsid w:val="662856A5"/>
    <w:rsid w:val="662C2AA0"/>
    <w:rsid w:val="6635413F"/>
    <w:rsid w:val="663D7041"/>
    <w:rsid w:val="66422299"/>
    <w:rsid w:val="66436E0D"/>
    <w:rsid w:val="66550F63"/>
    <w:rsid w:val="66586148"/>
    <w:rsid w:val="666A0271"/>
    <w:rsid w:val="666D78EF"/>
    <w:rsid w:val="66704636"/>
    <w:rsid w:val="66806EF3"/>
    <w:rsid w:val="66817D18"/>
    <w:rsid w:val="6685704C"/>
    <w:rsid w:val="66864AE8"/>
    <w:rsid w:val="66993336"/>
    <w:rsid w:val="66BB4497"/>
    <w:rsid w:val="67072F25"/>
    <w:rsid w:val="670D22AD"/>
    <w:rsid w:val="671D347E"/>
    <w:rsid w:val="671D57CC"/>
    <w:rsid w:val="67251FCA"/>
    <w:rsid w:val="67537EF7"/>
    <w:rsid w:val="676F33DC"/>
    <w:rsid w:val="67942030"/>
    <w:rsid w:val="679D0DD9"/>
    <w:rsid w:val="679D6AA1"/>
    <w:rsid w:val="67A76E26"/>
    <w:rsid w:val="67A86F38"/>
    <w:rsid w:val="67B061AF"/>
    <w:rsid w:val="67D775E3"/>
    <w:rsid w:val="67DE6CDB"/>
    <w:rsid w:val="67E80E87"/>
    <w:rsid w:val="67F46232"/>
    <w:rsid w:val="68042F69"/>
    <w:rsid w:val="6810116D"/>
    <w:rsid w:val="681F5401"/>
    <w:rsid w:val="682B6E8E"/>
    <w:rsid w:val="68300BA0"/>
    <w:rsid w:val="6852161C"/>
    <w:rsid w:val="685C646F"/>
    <w:rsid w:val="685F3FAD"/>
    <w:rsid w:val="68687B71"/>
    <w:rsid w:val="68726C5C"/>
    <w:rsid w:val="687306AB"/>
    <w:rsid w:val="687474B8"/>
    <w:rsid w:val="68774C33"/>
    <w:rsid w:val="68797F51"/>
    <w:rsid w:val="687B5020"/>
    <w:rsid w:val="687B7D78"/>
    <w:rsid w:val="68A061F5"/>
    <w:rsid w:val="68AE6286"/>
    <w:rsid w:val="68C44C23"/>
    <w:rsid w:val="68C904D7"/>
    <w:rsid w:val="68CE49F5"/>
    <w:rsid w:val="68D30EF1"/>
    <w:rsid w:val="68D71F81"/>
    <w:rsid w:val="68DF6B1A"/>
    <w:rsid w:val="68EF09F7"/>
    <w:rsid w:val="68F21DD4"/>
    <w:rsid w:val="6905054C"/>
    <w:rsid w:val="69197F40"/>
    <w:rsid w:val="6921688B"/>
    <w:rsid w:val="692E2A4A"/>
    <w:rsid w:val="692E544E"/>
    <w:rsid w:val="696B2859"/>
    <w:rsid w:val="696F32DF"/>
    <w:rsid w:val="697722C4"/>
    <w:rsid w:val="69794AE1"/>
    <w:rsid w:val="698C4528"/>
    <w:rsid w:val="69994DF8"/>
    <w:rsid w:val="69A45818"/>
    <w:rsid w:val="69AA40CB"/>
    <w:rsid w:val="69AF543C"/>
    <w:rsid w:val="69BF021A"/>
    <w:rsid w:val="69D44FBF"/>
    <w:rsid w:val="69D61088"/>
    <w:rsid w:val="6A0B20A5"/>
    <w:rsid w:val="6A145DD6"/>
    <w:rsid w:val="6A197BB7"/>
    <w:rsid w:val="6A2F4856"/>
    <w:rsid w:val="6A364DD0"/>
    <w:rsid w:val="6A4E2686"/>
    <w:rsid w:val="6A604AAD"/>
    <w:rsid w:val="6A6E2A19"/>
    <w:rsid w:val="6A853AF3"/>
    <w:rsid w:val="6A9546E8"/>
    <w:rsid w:val="6A967E39"/>
    <w:rsid w:val="6ACA0BA4"/>
    <w:rsid w:val="6B0D1C88"/>
    <w:rsid w:val="6B120E5C"/>
    <w:rsid w:val="6B357FF1"/>
    <w:rsid w:val="6B3D40F6"/>
    <w:rsid w:val="6B4F628B"/>
    <w:rsid w:val="6B7D54CE"/>
    <w:rsid w:val="6B7D6FD1"/>
    <w:rsid w:val="6B9A1DB6"/>
    <w:rsid w:val="6BA01081"/>
    <w:rsid w:val="6BAC3AD1"/>
    <w:rsid w:val="6BCB3FBE"/>
    <w:rsid w:val="6BCD6B19"/>
    <w:rsid w:val="6BDD494E"/>
    <w:rsid w:val="6BE21932"/>
    <w:rsid w:val="6BEF705A"/>
    <w:rsid w:val="6C034578"/>
    <w:rsid w:val="6C0A1264"/>
    <w:rsid w:val="6C0E2FCA"/>
    <w:rsid w:val="6C3128C5"/>
    <w:rsid w:val="6C5B4013"/>
    <w:rsid w:val="6C631C8F"/>
    <w:rsid w:val="6C733F81"/>
    <w:rsid w:val="6C7572F8"/>
    <w:rsid w:val="6C7F3E56"/>
    <w:rsid w:val="6C80392F"/>
    <w:rsid w:val="6CAA3886"/>
    <w:rsid w:val="6CAE5E68"/>
    <w:rsid w:val="6CB43FF3"/>
    <w:rsid w:val="6CB9014D"/>
    <w:rsid w:val="6CC73676"/>
    <w:rsid w:val="6CCA309B"/>
    <w:rsid w:val="6CD43E94"/>
    <w:rsid w:val="6CE35942"/>
    <w:rsid w:val="6CE9354B"/>
    <w:rsid w:val="6CF30807"/>
    <w:rsid w:val="6CF90EE2"/>
    <w:rsid w:val="6D066637"/>
    <w:rsid w:val="6D272272"/>
    <w:rsid w:val="6D305230"/>
    <w:rsid w:val="6D5D689F"/>
    <w:rsid w:val="6D5F7755"/>
    <w:rsid w:val="6D684FB8"/>
    <w:rsid w:val="6D95300C"/>
    <w:rsid w:val="6D953977"/>
    <w:rsid w:val="6D9F0C55"/>
    <w:rsid w:val="6DA25EA3"/>
    <w:rsid w:val="6DA333FA"/>
    <w:rsid w:val="6DC85E83"/>
    <w:rsid w:val="6DCB0524"/>
    <w:rsid w:val="6DCF2090"/>
    <w:rsid w:val="6DD44BCC"/>
    <w:rsid w:val="6DE36848"/>
    <w:rsid w:val="6DF941D7"/>
    <w:rsid w:val="6E0923A1"/>
    <w:rsid w:val="6E1C222C"/>
    <w:rsid w:val="6E1C2B9B"/>
    <w:rsid w:val="6E3758C8"/>
    <w:rsid w:val="6E4149C4"/>
    <w:rsid w:val="6E4849EC"/>
    <w:rsid w:val="6E4B042F"/>
    <w:rsid w:val="6E661AC1"/>
    <w:rsid w:val="6E664101"/>
    <w:rsid w:val="6E6F6BB3"/>
    <w:rsid w:val="6E830B41"/>
    <w:rsid w:val="6E972B18"/>
    <w:rsid w:val="6EA303B8"/>
    <w:rsid w:val="6EAE0968"/>
    <w:rsid w:val="6EB86312"/>
    <w:rsid w:val="6EE941DE"/>
    <w:rsid w:val="6EF040CD"/>
    <w:rsid w:val="6EFC0298"/>
    <w:rsid w:val="6F344A88"/>
    <w:rsid w:val="6F4B02E3"/>
    <w:rsid w:val="6F4F2CE9"/>
    <w:rsid w:val="6F5B7533"/>
    <w:rsid w:val="6F6335E2"/>
    <w:rsid w:val="6F6342B8"/>
    <w:rsid w:val="6F6532C9"/>
    <w:rsid w:val="6F697A08"/>
    <w:rsid w:val="6F704073"/>
    <w:rsid w:val="6F72507C"/>
    <w:rsid w:val="6F764B68"/>
    <w:rsid w:val="6F7B1395"/>
    <w:rsid w:val="6F816109"/>
    <w:rsid w:val="6F9159BF"/>
    <w:rsid w:val="6FA1277D"/>
    <w:rsid w:val="6FAE0DBB"/>
    <w:rsid w:val="6FB72D23"/>
    <w:rsid w:val="6FD65242"/>
    <w:rsid w:val="6FF65A08"/>
    <w:rsid w:val="6FFC776F"/>
    <w:rsid w:val="70014DF8"/>
    <w:rsid w:val="70056B01"/>
    <w:rsid w:val="70295B79"/>
    <w:rsid w:val="70495EF6"/>
    <w:rsid w:val="704C638B"/>
    <w:rsid w:val="70571A01"/>
    <w:rsid w:val="7061599A"/>
    <w:rsid w:val="70696943"/>
    <w:rsid w:val="706B0253"/>
    <w:rsid w:val="70811948"/>
    <w:rsid w:val="709428DF"/>
    <w:rsid w:val="70A5491A"/>
    <w:rsid w:val="70AD14FC"/>
    <w:rsid w:val="70B30347"/>
    <w:rsid w:val="70B765DE"/>
    <w:rsid w:val="70C77CD0"/>
    <w:rsid w:val="70D5520E"/>
    <w:rsid w:val="70D72D09"/>
    <w:rsid w:val="70E9196E"/>
    <w:rsid w:val="7103662E"/>
    <w:rsid w:val="710D19B6"/>
    <w:rsid w:val="71127AFD"/>
    <w:rsid w:val="7167781D"/>
    <w:rsid w:val="716D1000"/>
    <w:rsid w:val="71767DDF"/>
    <w:rsid w:val="719000CB"/>
    <w:rsid w:val="71A51253"/>
    <w:rsid w:val="71AC6D62"/>
    <w:rsid w:val="71B45552"/>
    <w:rsid w:val="71B63B05"/>
    <w:rsid w:val="71C337AE"/>
    <w:rsid w:val="71C921C9"/>
    <w:rsid w:val="71C947B5"/>
    <w:rsid w:val="71D50D24"/>
    <w:rsid w:val="720C55A6"/>
    <w:rsid w:val="723506AE"/>
    <w:rsid w:val="7235179F"/>
    <w:rsid w:val="7239610A"/>
    <w:rsid w:val="723A5607"/>
    <w:rsid w:val="724229E6"/>
    <w:rsid w:val="725C71FB"/>
    <w:rsid w:val="726B78C3"/>
    <w:rsid w:val="72803F18"/>
    <w:rsid w:val="7285019F"/>
    <w:rsid w:val="72A36E1E"/>
    <w:rsid w:val="72AE4995"/>
    <w:rsid w:val="72D114DD"/>
    <w:rsid w:val="72DB0F72"/>
    <w:rsid w:val="72E153E6"/>
    <w:rsid w:val="72E26F91"/>
    <w:rsid w:val="72E40A7B"/>
    <w:rsid w:val="72ED1D6A"/>
    <w:rsid w:val="72F04924"/>
    <w:rsid w:val="72FA023E"/>
    <w:rsid w:val="73022C4A"/>
    <w:rsid w:val="730C6D42"/>
    <w:rsid w:val="730E1F54"/>
    <w:rsid w:val="7315101B"/>
    <w:rsid w:val="731B2E65"/>
    <w:rsid w:val="7322084A"/>
    <w:rsid w:val="73240903"/>
    <w:rsid w:val="733807F3"/>
    <w:rsid w:val="736A110F"/>
    <w:rsid w:val="737A09F3"/>
    <w:rsid w:val="738800EC"/>
    <w:rsid w:val="739736C7"/>
    <w:rsid w:val="7397681C"/>
    <w:rsid w:val="73A238E7"/>
    <w:rsid w:val="73B103F4"/>
    <w:rsid w:val="73CE6B0B"/>
    <w:rsid w:val="73D31A3E"/>
    <w:rsid w:val="73E35D46"/>
    <w:rsid w:val="73FD5230"/>
    <w:rsid w:val="742710E1"/>
    <w:rsid w:val="742A615A"/>
    <w:rsid w:val="743A1E31"/>
    <w:rsid w:val="743D3198"/>
    <w:rsid w:val="744523C7"/>
    <w:rsid w:val="744641E4"/>
    <w:rsid w:val="744A2325"/>
    <w:rsid w:val="744B4584"/>
    <w:rsid w:val="744D15A3"/>
    <w:rsid w:val="745077E1"/>
    <w:rsid w:val="74642437"/>
    <w:rsid w:val="747D78A4"/>
    <w:rsid w:val="7487571D"/>
    <w:rsid w:val="74A65A25"/>
    <w:rsid w:val="74C00074"/>
    <w:rsid w:val="74C12897"/>
    <w:rsid w:val="74C1455B"/>
    <w:rsid w:val="74FE0FBD"/>
    <w:rsid w:val="75012728"/>
    <w:rsid w:val="750B5149"/>
    <w:rsid w:val="751941EA"/>
    <w:rsid w:val="75283DA6"/>
    <w:rsid w:val="75402D80"/>
    <w:rsid w:val="754942BA"/>
    <w:rsid w:val="754A4846"/>
    <w:rsid w:val="754B5969"/>
    <w:rsid w:val="756D1D3B"/>
    <w:rsid w:val="756E766A"/>
    <w:rsid w:val="756F1CE3"/>
    <w:rsid w:val="75721C88"/>
    <w:rsid w:val="75773511"/>
    <w:rsid w:val="7582303E"/>
    <w:rsid w:val="759C75E2"/>
    <w:rsid w:val="75A402D5"/>
    <w:rsid w:val="75A91C19"/>
    <w:rsid w:val="75AC74A9"/>
    <w:rsid w:val="75B51DB0"/>
    <w:rsid w:val="75DA3AA4"/>
    <w:rsid w:val="75DF6D1C"/>
    <w:rsid w:val="75E77ED2"/>
    <w:rsid w:val="75E874F8"/>
    <w:rsid w:val="75F01985"/>
    <w:rsid w:val="75F8747C"/>
    <w:rsid w:val="75FC7F49"/>
    <w:rsid w:val="76005BD6"/>
    <w:rsid w:val="76306850"/>
    <w:rsid w:val="7643414A"/>
    <w:rsid w:val="7657081F"/>
    <w:rsid w:val="765B33FF"/>
    <w:rsid w:val="765B54EC"/>
    <w:rsid w:val="76626286"/>
    <w:rsid w:val="766D5F40"/>
    <w:rsid w:val="76B9789F"/>
    <w:rsid w:val="76BF1EDE"/>
    <w:rsid w:val="76CD6B41"/>
    <w:rsid w:val="76CF5023"/>
    <w:rsid w:val="76DE2C6A"/>
    <w:rsid w:val="76E2402B"/>
    <w:rsid w:val="76E90606"/>
    <w:rsid w:val="77013D8A"/>
    <w:rsid w:val="770D0136"/>
    <w:rsid w:val="77143AFE"/>
    <w:rsid w:val="771D0E3D"/>
    <w:rsid w:val="77226179"/>
    <w:rsid w:val="77235FE6"/>
    <w:rsid w:val="77253507"/>
    <w:rsid w:val="77676D70"/>
    <w:rsid w:val="77820419"/>
    <w:rsid w:val="77823557"/>
    <w:rsid w:val="77831323"/>
    <w:rsid w:val="778E363F"/>
    <w:rsid w:val="77927F5A"/>
    <w:rsid w:val="77B97C69"/>
    <w:rsid w:val="77D35AE5"/>
    <w:rsid w:val="77F34E56"/>
    <w:rsid w:val="77FD7BE2"/>
    <w:rsid w:val="7807342F"/>
    <w:rsid w:val="780E0937"/>
    <w:rsid w:val="78154778"/>
    <w:rsid w:val="783F6286"/>
    <w:rsid w:val="784B760D"/>
    <w:rsid w:val="785C1186"/>
    <w:rsid w:val="78660CF7"/>
    <w:rsid w:val="78686442"/>
    <w:rsid w:val="78783DB6"/>
    <w:rsid w:val="788B4E41"/>
    <w:rsid w:val="78A43D85"/>
    <w:rsid w:val="78AC137C"/>
    <w:rsid w:val="78AD1016"/>
    <w:rsid w:val="78BE74B0"/>
    <w:rsid w:val="78CF64D3"/>
    <w:rsid w:val="78D2369B"/>
    <w:rsid w:val="78D309A4"/>
    <w:rsid w:val="78E41F20"/>
    <w:rsid w:val="78F14016"/>
    <w:rsid w:val="790016C4"/>
    <w:rsid w:val="792802BA"/>
    <w:rsid w:val="79344EEA"/>
    <w:rsid w:val="79382B1D"/>
    <w:rsid w:val="79416C4D"/>
    <w:rsid w:val="794E3E83"/>
    <w:rsid w:val="7960280B"/>
    <w:rsid w:val="79623E55"/>
    <w:rsid w:val="79631FF0"/>
    <w:rsid w:val="79721FD3"/>
    <w:rsid w:val="79782312"/>
    <w:rsid w:val="798A3CD7"/>
    <w:rsid w:val="79A53424"/>
    <w:rsid w:val="79AA38CE"/>
    <w:rsid w:val="79AF566A"/>
    <w:rsid w:val="79B03DF4"/>
    <w:rsid w:val="79B468B4"/>
    <w:rsid w:val="79B54310"/>
    <w:rsid w:val="79C618C9"/>
    <w:rsid w:val="79C9426F"/>
    <w:rsid w:val="79D44345"/>
    <w:rsid w:val="79E057B8"/>
    <w:rsid w:val="79F13936"/>
    <w:rsid w:val="79F1491F"/>
    <w:rsid w:val="79F82110"/>
    <w:rsid w:val="79FF4A69"/>
    <w:rsid w:val="7A1065AD"/>
    <w:rsid w:val="7A192DC4"/>
    <w:rsid w:val="7A1E10EE"/>
    <w:rsid w:val="7A26568F"/>
    <w:rsid w:val="7A392B59"/>
    <w:rsid w:val="7A393FF5"/>
    <w:rsid w:val="7A433965"/>
    <w:rsid w:val="7A610500"/>
    <w:rsid w:val="7A755B39"/>
    <w:rsid w:val="7A86366C"/>
    <w:rsid w:val="7A872D6D"/>
    <w:rsid w:val="7A8942B4"/>
    <w:rsid w:val="7A92070A"/>
    <w:rsid w:val="7A963934"/>
    <w:rsid w:val="7AA6790D"/>
    <w:rsid w:val="7AB80A64"/>
    <w:rsid w:val="7AC46AE6"/>
    <w:rsid w:val="7ACE7866"/>
    <w:rsid w:val="7AD17CF5"/>
    <w:rsid w:val="7AD932E1"/>
    <w:rsid w:val="7AE23EBC"/>
    <w:rsid w:val="7AE47031"/>
    <w:rsid w:val="7AE84FC7"/>
    <w:rsid w:val="7B0A144D"/>
    <w:rsid w:val="7B161380"/>
    <w:rsid w:val="7B253ADF"/>
    <w:rsid w:val="7B3D5907"/>
    <w:rsid w:val="7B3F1EAE"/>
    <w:rsid w:val="7B4423E6"/>
    <w:rsid w:val="7B663841"/>
    <w:rsid w:val="7B665AAC"/>
    <w:rsid w:val="7B6D3010"/>
    <w:rsid w:val="7B724112"/>
    <w:rsid w:val="7B7D384F"/>
    <w:rsid w:val="7B844491"/>
    <w:rsid w:val="7BA36BAA"/>
    <w:rsid w:val="7BAB3068"/>
    <w:rsid w:val="7BB73E9D"/>
    <w:rsid w:val="7BC0487D"/>
    <w:rsid w:val="7BC05BD8"/>
    <w:rsid w:val="7BD864B5"/>
    <w:rsid w:val="7BDB3611"/>
    <w:rsid w:val="7BE60740"/>
    <w:rsid w:val="7BF4209C"/>
    <w:rsid w:val="7BFA6B92"/>
    <w:rsid w:val="7C105953"/>
    <w:rsid w:val="7C247137"/>
    <w:rsid w:val="7C3012D7"/>
    <w:rsid w:val="7C3361E7"/>
    <w:rsid w:val="7C417364"/>
    <w:rsid w:val="7C4A06F3"/>
    <w:rsid w:val="7C5E5EE0"/>
    <w:rsid w:val="7C7327C1"/>
    <w:rsid w:val="7C830667"/>
    <w:rsid w:val="7C8C7D71"/>
    <w:rsid w:val="7C8D2EA3"/>
    <w:rsid w:val="7C9D78FB"/>
    <w:rsid w:val="7CA73741"/>
    <w:rsid w:val="7CA91330"/>
    <w:rsid w:val="7CAA4D0E"/>
    <w:rsid w:val="7CB062C2"/>
    <w:rsid w:val="7CB106A5"/>
    <w:rsid w:val="7CCA53FA"/>
    <w:rsid w:val="7CDD4E5F"/>
    <w:rsid w:val="7CDE78E2"/>
    <w:rsid w:val="7CF455E7"/>
    <w:rsid w:val="7CF66946"/>
    <w:rsid w:val="7D01641E"/>
    <w:rsid w:val="7D0212EA"/>
    <w:rsid w:val="7D2B519B"/>
    <w:rsid w:val="7D2F4CD9"/>
    <w:rsid w:val="7D313E61"/>
    <w:rsid w:val="7D331254"/>
    <w:rsid w:val="7D392E71"/>
    <w:rsid w:val="7D6631DC"/>
    <w:rsid w:val="7D6752A8"/>
    <w:rsid w:val="7D7403E5"/>
    <w:rsid w:val="7D7E6E34"/>
    <w:rsid w:val="7D832779"/>
    <w:rsid w:val="7D8F093F"/>
    <w:rsid w:val="7D973047"/>
    <w:rsid w:val="7DA13A64"/>
    <w:rsid w:val="7DBC6527"/>
    <w:rsid w:val="7DC41E97"/>
    <w:rsid w:val="7DC7327A"/>
    <w:rsid w:val="7DCA0003"/>
    <w:rsid w:val="7DE11312"/>
    <w:rsid w:val="7DEE6C44"/>
    <w:rsid w:val="7E021E0D"/>
    <w:rsid w:val="7E051612"/>
    <w:rsid w:val="7E2F79D3"/>
    <w:rsid w:val="7E376E61"/>
    <w:rsid w:val="7E38240F"/>
    <w:rsid w:val="7E4F54C9"/>
    <w:rsid w:val="7E541B8D"/>
    <w:rsid w:val="7E5C78B0"/>
    <w:rsid w:val="7E655A40"/>
    <w:rsid w:val="7E6A6A59"/>
    <w:rsid w:val="7E7A69F4"/>
    <w:rsid w:val="7E963F5C"/>
    <w:rsid w:val="7EAA4FCC"/>
    <w:rsid w:val="7EAC5FA1"/>
    <w:rsid w:val="7EC4492C"/>
    <w:rsid w:val="7ECB13F3"/>
    <w:rsid w:val="7ED505D3"/>
    <w:rsid w:val="7EE70F2D"/>
    <w:rsid w:val="7EEB5047"/>
    <w:rsid w:val="7EFD6FA7"/>
    <w:rsid w:val="7F087463"/>
    <w:rsid w:val="7F09586E"/>
    <w:rsid w:val="7F2141DE"/>
    <w:rsid w:val="7F39786A"/>
    <w:rsid w:val="7F5631AB"/>
    <w:rsid w:val="7F565C43"/>
    <w:rsid w:val="7F5B70BF"/>
    <w:rsid w:val="7F664991"/>
    <w:rsid w:val="7F742A8F"/>
    <w:rsid w:val="7F832448"/>
    <w:rsid w:val="7F862A2F"/>
    <w:rsid w:val="7F8D4850"/>
    <w:rsid w:val="7F924C12"/>
    <w:rsid w:val="7F9809C3"/>
    <w:rsid w:val="7FC917DB"/>
    <w:rsid w:val="7FD13962"/>
    <w:rsid w:val="7FD4038A"/>
    <w:rsid w:val="7FD456A9"/>
    <w:rsid w:val="7FD5649C"/>
    <w:rsid w:val="7FDC54AF"/>
    <w:rsid w:val="7FFB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jc w:val="left"/>
      <w:textAlignment w:val="baseline"/>
    </w:pPr>
    <w:rPr>
      <w:rFonts w:eastAsia="楷体_GB2312"/>
      <w:kern w:val="0"/>
      <w:sz w:val="28"/>
    </w:rPr>
  </w:style>
  <w:style w:type="paragraph" w:styleId="7">
    <w:name w:val="Body Text"/>
    <w:basedOn w:val="1"/>
    <w:qFormat/>
    <w:uiPriority w:val="0"/>
    <w:pPr>
      <w:spacing w:after="120" w:line="500" w:lineRule="exact"/>
      <w:ind w:firstLine="200" w:firstLineChars="200"/>
    </w:pPr>
    <w:rPr>
      <w:rFonts w:ascii="Times New Roman" w:hAnsi="Times New Roman"/>
      <w:sz w:val="28"/>
      <w:szCs w:val="24"/>
    </w:rPr>
  </w:style>
  <w:style w:type="paragraph" w:styleId="8">
    <w:name w:val="Body Text Indent"/>
    <w:basedOn w:val="1"/>
    <w:qFormat/>
    <w:uiPriority w:val="0"/>
    <w:pPr>
      <w:ind w:left="420"/>
    </w:pPr>
    <w:rPr>
      <w:rFonts w:ascii="宋体" w:hAnsi="宋体"/>
      <w:sz w:val="28"/>
    </w:rPr>
  </w:style>
  <w:style w:type="paragraph" w:styleId="9">
    <w:name w:val="Plain Text"/>
    <w:basedOn w:val="1"/>
    <w:qFormat/>
    <w:uiPriority w:val="0"/>
    <w:rPr>
      <w:rFonts w:ascii="宋体" w:hAnsi="Courier New" w:cs="Courier New"/>
      <w:szCs w:val="21"/>
    </w:r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8652"/>
      </w:tabs>
    </w:pPr>
    <w:rPr>
      <w:rFonts w:ascii="黑体" w:hAnsi="黑体" w:eastAsia="黑体" w:cs="宋体"/>
      <w:b/>
      <w:sz w:val="28"/>
      <w:szCs w:val="28"/>
    </w:rPr>
  </w:style>
  <w:style w:type="paragraph" w:styleId="14">
    <w:name w:val="List"/>
    <w:basedOn w:val="1"/>
    <w:qFormat/>
    <w:uiPriority w:val="0"/>
    <w:pPr>
      <w:ind w:left="200" w:hanging="200" w:hangingChars="200"/>
    </w:pPr>
  </w:style>
  <w:style w:type="paragraph" w:styleId="15">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样式1"/>
    <w:basedOn w:val="12"/>
    <w:next w:val="1"/>
    <w:qFormat/>
    <w:uiPriority w:val="0"/>
    <w:pPr>
      <w:tabs>
        <w:tab w:val="left" w:pos="720"/>
      </w:tabs>
      <w:ind w:firstLine="360"/>
    </w:pPr>
    <w:rPr>
      <w:sz w:val="28"/>
      <w:szCs w:val="20"/>
    </w:rPr>
  </w:style>
  <w:style w:type="paragraph" w:customStyle="1" w:styleId="22">
    <w:name w:val="列出段落1"/>
    <w:basedOn w:val="1"/>
    <w:qFormat/>
    <w:uiPriority w:val="99"/>
    <w:pPr>
      <w:ind w:firstLine="420" w:firstLineChars="200"/>
    </w:pPr>
  </w:style>
  <w:style w:type="character" w:customStyle="1" w:styleId="23">
    <w:name w:val="批注框文本 Char"/>
    <w:basedOn w:val="18"/>
    <w:link w:val="10"/>
    <w:qFormat/>
    <w:uiPriority w:val="0"/>
    <w:rPr>
      <w:rFonts w:ascii="Calibri" w:hAnsi="Calibri" w:eastAsia="宋体" w:cs="Times New Roman"/>
      <w:kern w:val="2"/>
      <w:sz w:val="18"/>
      <w:szCs w:val="18"/>
    </w:rPr>
  </w:style>
  <w:style w:type="paragraph" w:styleId="24">
    <w:name w:val="List Paragraph"/>
    <w:basedOn w:val="1"/>
    <w:unhideWhenUsed/>
    <w:qFormat/>
    <w:uiPriority w:val="99"/>
    <w:pPr>
      <w:ind w:firstLine="420" w:firstLineChars="200"/>
    </w:pPr>
  </w:style>
  <w:style w:type="character" w:customStyle="1" w:styleId="25">
    <w:name w:val="页眉 Char"/>
    <w:basedOn w:val="18"/>
    <w:link w:val="1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27</Pages>
  <Words>8605</Words>
  <Characters>9354</Characters>
  <Lines>10</Lines>
  <Paragraphs>12</Paragraphs>
  <TotalTime>23</TotalTime>
  <ScaleCrop>false</ScaleCrop>
  <LinksUpToDate>false</LinksUpToDate>
  <CharactersWithSpaces>9688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2020-11-27T08:04:00Z</dcterms:created>
  <dc:creator>Administrator</dc:creator>
  <cp:lastModifiedBy>A</cp:lastModifiedBy>
  <cp:lastPrinted>2023-10-17T09:00:00Z</cp:lastPrinted>
  <dcterms:modified xsi:type="dcterms:W3CDTF">2025-05-30T01:42:02Z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838707EEA6F8499A880240A4DA106B8E_12</vt:lpwstr>
  </property>
  <property fmtid="{D5CDD505-2E9C-101B-9397-08002B2CF9AE}" pid="4" name="KSOTemplateDocerSaveRecord">
    <vt:lpwstr>eyJoZGlkIjoiZGM5NGQ4MjJhN2MwYzIxN2JlZTZkOGQ2MDlkMTUwOTAifQ==</vt:lpwstr>
  </property>
</Properties>
</file>